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line="560" w:lineRule="exact"/>
        <w:jc w:val="both"/>
        <w:textAlignment w:val="bottom"/>
        <w:rPr>
          <w:rFonts w:hint="eastAsia"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附件4：</w:t>
      </w:r>
    </w:p>
    <w:tbl>
      <w:tblPr>
        <w:tblStyle w:val="6"/>
        <w:tblW w:w="8330" w:type="dxa"/>
        <w:tblInd w:w="0" w:type="dxa"/>
        <w:tblLayout w:type="fixed"/>
        <w:tblCellMar>
          <w:top w:w="0" w:type="dxa"/>
          <w:left w:w="0" w:type="dxa"/>
          <w:bottom w:w="0" w:type="dxa"/>
          <w:right w:w="0" w:type="dxa"/>
        </w:tblCellMar>
      </w:tblPr>
      <w:tblGrid>
        <w:gridCol w:w="958"/>
        <w:gridCol w:w="674"/>
        <w:gridCol w:w="2083"/>
        <w:gridCol w:w="545"/>
        <w:gridCol w:w="3557"/>
        <w:gridCol w:w="513"/>
      </w:tblGrid>
      <w:tr>
        <w:tblPrEx>
          <w:tblCellMar>
            <w:top w:w="0" w:type="dxa"/>
            <w:left w:w="0" w:type="dxa"/>
            <w:bottom w:w="0" w:type="dxa"/>
            <w:right w:w="0" w:type="dxa"/>
          </w:tblCellMar>
        </w:tblPrEx>
        <w:trPr>
          <w:trHeight w:val="660" w:hRule="atLeast"/>
        </w:trPr>
        <w:tc>
          <w:tcPr>
            <w:tcW w:w="8330" w:type="dxa"/>
            <w:gridSpan w:val="6"/>
            <w:tcBorders>
              <w:top w:val="nil"/>
              <w:left w:val="nil"/>
              <w:bottom w:val="single" w:color="000000" w:sz="4" w:space="0"/>
              <w:right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b/>
                <w:bCs/>
                <w:color w:val="auto"/>
                <w:sz w:val="40"/>
                <w:szCs w:val="48"/>
              </w:rPr>
            </w:pPr>
            <w:r>
              <w:rPr>
                <w:rFonts w:hint="eastAsia" w:ascii="仿宋_GB2312" w:hAnsi="仿宋_GB2312" w:eastAsia="仿宋_GB2312" w:cs="仿宋_GB2312"/>
                <w:b/>
                <w:bCs/>
                <w:color w:val="auto"/>
                <w:spacing w:val="-20"/>
                <w:sz w:val="40"/>
                <w:szCs w:val="48"/>
                <w:lang w:val="en-US" w:eastAsia="zh-CN"/>
              </w:rPr>
              <w:t>邢台市差补费</w:t>
            </w:r>
            <w:r>
              <w:rPr>
                <w:rFonts w:hint="eastAsia" w:ascii="仿宋_GB2312" w:hAnsi="仿宋_GB2312" w:eastAsia="仿宋_GB2312" w:cs="仿宋_GB2312"/>
                <w:b/>
                <w:bCs/>
                <w:color w:val="auto"/>
                <w:spacing w:val="0"/>
                <w:sz w:val="40"/>
                <w:szCs w:val="48"/>
                <w:lang w:val="en-US" w:eastAsia="zh-CN"/>
              </w:rPr>
              <w:t>项目重点</w:t>
            </w:r>
            <w:r>
              <w:rPr>
                <w:rFonts w:hint="eastAsia" w:ascii="仿宋_GB2312" w:hAnsi="仿宋_GB2312" w:eastAsia="仿宋_GB2312" w:cs="仿宋_GB2312"/>
                <w:b/>
                <w:bCs/>
                <w:color w:val="auto"/>
                <w:sz w:val="40"/>
                <w:szCs w:val="48"/>
              </w:rPr>
              <w:t>绩效</w:t>
            </w:r>
            <w:r>
              <w:rPr>
                <w:rFonts w:hint="eastAsia" w:ascii="仿宋_GB2312" w:hAnsi="仿宋_GB2312" w:eastAsia="仿宋_GB2312" w:cs="仿宋_GB2312"/>
                <w:b/>
                <w:bCs/>
                <w:color w:val="auto"/>
                <w:spacing w:val="0"/>
                <w:sz w:val="40"/>
                <w:szCs w:val="48"/>
                <w:lang w:val="en-US" w:eastAsia="zh-CN"/>
              </w:rPr>
              <w:t>自评</w:t>
            </w:r>
            <w:r>
              <w:rPr>
                <w:rFonts w:hint="eastAsia" w:ascii="仿宋_GB2312" w:hAnsi="仿宋_GB2312" w:eastAsia="仿宋_GB2312" w:cs="仿宋_GB2312"/>
                <w:b/>
                <w:bCs/>
                <w:color w:val="auto"/>
                <w:sz w:val="40"/>
                <w:szCs w:val="48"/>
              </w:rPr>
              <w:t>报告</w:t>
            </w:r>
          </w:p>
          <w:p>
            <w:pP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 xml:space="preserve">                         </w:t>
            </w: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rPr>
                <w:rFonts w:hint="eastAsia" w:ascii="仿宋_GB2312" w:hAnsi="仿宋_GB2312" w:eastAsia="仿宋_GB2312" w:cs="仿宋_GB2312"/>
                <w:color w:val="auto"/>
              </w:rPr>
            </w:pP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ascii="仿宋_GB2312" w:hAnsi="仿宋_GB2312" w:eastAsia="仿宋_GB2312" w:cs="仿宋_GB2312"/>
                <w:color w:val="auto"/>
                <w:spacing w:val="-20"/>
                <w:sz w:val="28"/>
                <w:szCs w:val="28"/>
                <w:u w:val="single"/>
                <w:lang w:val="en-US"/>
              </w:rPr>
            </w:pPr>
            <w:r>
              <w:rPr>
                <w:rFonts w:hint="eastAsia" w:ascii="仿宋_GB2312" w:hAnsi="仿宋_GB2312" w:eastAsia="仿宋_GB2312" w:cs="仿宋_GB2312"/>
                <w:color w:val="auto"/>
                <w:spacing w:val="11"/>
                <w:sz w:val="28"/>
                <w:szCs w:val="28"/>
                <w:u w:val="none"/>
              </w:rPr>
              <w:t>项</w:t>
            </w:r>
            <w:r>
              <w:rPr>
                <w:rFonts w:hint="eastAsia" w:ascii="仿宋_GB2312" w:hAnsi="仿宋_GB2312" w:eastAsia="仿宋_GB2312" w:cs="仿宋_GB2312"/>
                <w:color w:val="auto"/>
                <w:spacing w:val="11"/>
                <w:sz w:val="28"/>
                <w:szCs w:val="28"/>
                <w:u w:val="none"/>
                <w:lang w:val="en-US" w:eastAsia="zh-CN"/>
              </w:rPr>
              <w:t xml:space="preserve"> </w:t>
            </w:r>
            <w:r>
              <w:rPr>
                <w:rFonts w:hint="eastAsia" w:ascii="仿宋_GB2312" w:hAnsi="仿宋_GB2312" w:eastAsia="仿宋_GB2312" w:cs="仿宋_GB2312"/>
                <w:color w:val="auto"/>
                <w:spacing w:val="11"/>
                <w:sz w:val="28"/>
                <w:szCs w:val="28"/>
                <w:u w:val="none"/>
              </w:rPr>
              <w:t>目</w:t>
            </w:r>
            <w:r>
              <w:rPr>
                <w:rFonts w:hint="eastAsia" w:ascii="仿宋_GB2312" w:hAnsi="仿宋_GB2312" w:eastAsia="仿宋_GB2312" w:cs="仿宋_GB2312"/>
                <w:color w:val="auto"/>
                <w:spacing w:val="11"/>
                <w:sz w:val="28"/>
                <w:szCs w:val="28"/>
                <w:u w:val="none"/>
                <w:lang w:val="en-US" w:eastAsia="zh-CN"/>
              </w:rPr>
              <w:t xml:space="preserve"> </w:t>
            </w:r>
            <w:r>
              <w:rPr>
                <w:rFonts w:hint="eastAsia" w:ascii="仿宋_GB2312" w:hAnsi="仿宋_GB2312" w:eastAsia="仿宋_GB2312" w:cs="仿宋_GB2312"/>
                <w:color w:val="auto"/>
                <w:spacing w:val="11"/>
                <w:sz w:val="28"/>
                <w:szCs w:val="28"/>
                <w:u w:val="none"/>
              </w:rPr>
              <w:t>名</w:t>
            </w:r>
            <w:r>
              <w:rPr>
                <w:rFonts w:hint="eastAsia" w:ascii="仿宋_GB2312" w:hAnsi="仿宋_GB2312" w:eastAsia="仿宋_GB2312" w:cs="仿宋_GB2312"/>
                <w:color w:val="auto"/>
                <w:spacing w:val="11"/>
                <w:sz w:val="28"/>
                <w:szCs w:val="28"/>
                <w:u w:val="none"/>
                <w:lang w:val="en-US" w:eastAsia="zh-CN"/>
              </w:rPr>
              <w:t xml:space="preserve"> </w:t>
            </w:r>
            <w:r>
              <w:rPr>
                <w:rFonts w:hint="eastAsia" w:ascii="仿宋_GB2312" w:hAnsi="仿宋_GB2312" w:eastAsia="仿宋_GB2312" w:cs="仿宋_GB2312"/>
                <w:color w:val="auto"/>
                <w:spacing w:val="11"/>
                <w:sz w:val="28"/>
                <w:szCs w:val="28"/>
                <w:u w:val="none"/>
              </w:rPr>
              <w:t>称：</w:t>
            </w:r>
            <w:r>
              <w:rPr>
                <w:rFonts w:hint="eastAsia" w:ascii="仿宋_GB2312" w:hAnsi="仿宋_GB2312" w:eastAsia="仿宋_GB2312" w:cs="仿宋_GB2312"/>
                <w:color w:val="auto"/>
                <w:sz w:val="28"/>
                <w:szCs w:val="28"/>
                <w:u w:val="none"/>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差补费    </w:t>
            </w:r>
            <w:r>
              <w:rPr>
                <w:rFonts w:hint="eastAsia" w:ascii="仿宋_GB2312" w:hAnsi="仿宋_GB2312" w:eastAsia="仿宋_GB2312" w:cs="仿宋_GB2312"/>
                <w:b/>
                <w:bCs/>
                <w:color w:val="auto"/>
                <w:spacing w:val="0"/>
                <w:sz w:val="28"/>
                <w:szCs w:val="28"/>
                <w:u w:val="single"/>
                <w:lang w:val="en-US" w:eastAsia="zh-CN"/>
              </w:rPr>
              <w:t xml:space="preserve">  </w:t>
            </w:r>
            <w:r>
              <w:rPr>
                <w:rFonts w:hint="eastAsia" w:ascii="仿宋_GB2312" w:hAnsi="仿宋_GB2312" w:eastAsia="仿宋_GB2312" w:cs="仿宋_GB2312"/>
                <w:b/>
                <w:bCs/>
                <w:color w:val="auto"/>
                <w:spacing w:val="0"/>
                <w:sz w:val="40"/>
                <w:szCs w:val="48"/>
                <w:u w:val="single"/>
                <w:lang w:val="en-US" w:eastAsia="zh-CN"/>
              </w:rPr>
              <w:t xml:space="preserve">  </w:t>
            </w:r>
            <w:r>
              <w:rPr>
                <w:rFonts w:hint="eastAsia" w:ascii="仿宋_GB2312" w:hAnsi="仿宋_GB2312" w:eastAsia="仿宋_GB2312" w:cs="仿宋_GB2312"/>
                <w:color w:val="auto"/>
                <w:spacing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u w:val="none"/>
              </w:rPr>
              <w:t>项目实施单位：</w:t>
            </w:r>
            <w:r>
              <w:rPr>
                <w:rFonts w:hint="eastAsia" w:ascii="仿宋_GB2312" w:hAnsi="仿宋_GB2312" w:eastAsia="仿宋_GB2312" w:cs="仿宋_GB2312"/>
                <w:color w:val="auto"/>
                <w:spacing w:val="-20"/>
                <w:sz w:val="28"/>
                <w:szCs w:val="28"/>
                <w:u w:val="none"/>
                <w:lang w:val="en-US" w:eastAsia="zh-CN"/>
              </w:rPr>
              <w:t xml:space="preserve">  </w:t>
            </w:r>
            <w:r>
              <w:rPr>
                <w:rFonts w:hint="eastAsia" w:ascii="仿宋_GB2312" w:hAnsi="仿宋_GB2312" w:eastAsia="仿宋_GB2312" w:cs="仿宋_GB2312"/>
                <w:color w:val="auto"/>
                <w:spacing w:val="-20"/>
                <w:sz w:val="28"/>
                <w:szCs w:val="28"/>
                <w:u w:val="single"/>
                <w:lang w:val="en-US" w:eastAsia="zh-CN"/>
              </w:rPr>
              <w:t xml:space="preserve">              邢台市气象局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pacing w:val="28"/>
                <w:sz w:val="28"/>
                <w:szCs w:val="28"/>
                <w:u w:val="none"/>
              </w:rPr>
              <w:t>项目总金额：</w:t>
            </w:r>
            <w:r>
              <w:rPr>
                <w:rFonts w:hint="eastAsia" w:ascii="仿宋_GB2312" w:hAnsi="仿宋_GB2312" w:eastAsia="仿宋_GB2312" w:cs="仿宋_GB2312"/>
                <w:color w:val="auto"/>
                <w:sz w:val="28"/>
                <w:szCs w:val="28"/>
                <w:u w:val="non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907万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pacing w:val="11"/>
                <w:sz w:val="28"/>
                <w:szCs w:val="28"/>
                <w:u w:val="none"/>
              </w:rPr>
              <w:t>评</w:t>
            </w:r>
            <w:r>
              <w:rPr>
                <w:rFonts w:hint="eastAsia" w:ascii="仿宋_GB2312" w:hAnsi="仿宋_GB2312" w:eastAsia="仿宋_GB2312" w:cs="仿宋_GB2312"/>
                <w:color w:val="auto"/>
                <w:spacing w:val="11"/>
                <w:sz w:val="28"/>
                <w:szCs w:val="28"/>
                <w:u w:val="none"/>
                <w:lang w:val="en-US" w:eastAsia="zh-CN"/>
              </w:rPr>
              <w:t xml:space="preserve"> </w:t>
            </w:r>
            <w:r>
              <w:rPr>
                <w:rFonts w:hint="eastAsia" w:ascii="仿宋_GB2312" w:hAnsi="仿宋_GB2312" w:eastAsia="仿宋_GB2312" w:cs="仿宋_GB2312"/>
                <w:color w:val="auto"/>
                <w:spacing w:val="11"/>
                <w:sz w:val="28"/>
                <w:szCs w:val="28"/>
                <w:u w:val="none"/>
              </w:rPr>
              <w:t>价</w:t>
            </w:r>
            <w:r>
              <w:rPr>
                <w:rFonts w:hint="eastAsia" w:ascii="仿宋_GB2312" w:hAnsi="仿宋_GB2312" w:eastAsia="仿宋_GB2312" w:cs="仿宋_GB2312"/>
                <w:color w:val="auto"/>
                <w:spacing w:val="11"/>
                <w:sz w:val="28"/>
                <w:szCs w:val="28"/>
                <w:u w:val="none"/>
                <w:lang w:val="en-US" w:eastAsia="zh-CN"/>
              </w:rPr>
              <w:t xml:space="preserve"> </w:t>
            </w:r>
            <w:r>
              <w:rPr>
                <w:rFonts w:hint="eastAsia" w:ascii="仿宋_GB2312" w:hAnsi="仿宋_GB2312" w:eastAsia="仿宋_GB2312" w:cs="仿宋_GB2312"/>
                <w:color w:val="auto"/>
                <w:spacing w:val="11"/>
                <w:sz w:val="28"/>
                <w:szCs w:val="28"/>
                <w:u w:val="none"/>
              </w:rPr>
              <w:t>年</w:t>
            </w:r>
            <w:r>
              <w:rPr>
                <w:rFonts w:hint="eastAsia" w:ascii="仿宋_GB2312" w:hAnsi="仿宋_GB2312" w:eastAsia="仿宋_GB2312" w:cs="仿宋_GB2312"/>
                <w:color w:val="auto"/>
                <w:spacing w:val="11"/>
                <w:sz w:val="28"/>
                <w:szCs w:val="28"/>
                <w:u w:val="none"/>
                <w:lang w:val="en-US" w:eastAsia="zh-CN"/>
              </w:rPr>
              <w:t xml:space="preserve"> </w:t>
            </w:r>
            <w:r>
              <w:rPr>
                <w:rFonts w:hint="eastAsia" w:ascii="仿宋_GB2312" w:hAnsi="仿宋_GB2312" w:eastAsia="仿宋_GB2312" w:cs="仿宋_GB2312"/>
                <w:color w:val="auto"/>
                <w:spacing w:val="11"/>
                <w:sz w:val="28"/>
                <w:szCs w:val="28"/>
                <w:u w:val="none"/>
              </w:rPr>
              <w:t>度：</w:t>
            </w:r>
            <w:r>
              <w:rPr>
                <w:rFonts w:hint="eastAsia" w:ascii="仿宋_GB2312" w:hAnsi="仿宋_GB2312" w:eastAsia="仿宋_GB2312" w:cs="仿宋_GB2312"/>
                <w:color w:val="auto"/>
                <w:sz w:val="28"/>
                <w:szCs w:val="28"/>
                <w:u w:val="none"/>
                <w:lang w:val="en-US" w:eastAsia="zh-CN"/>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2023年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pacing w:val="28"/>
                <w:sz w:val="28"/>
                <w:szCs w:val="28"/>
                <w:u w:val="none"/>
                <w:lang w:val="en-US" w:eastAsia="zh-CN"/>
              </w:rPr>
              <w:t>评价组组长：</w:t>
            </w:r>
            <w:r>
              <w:rPr>
                <w:rFonts w:hint="eastAsia" w:ascii="仿宋_GB2312" w:hAnsi="仿宋_GB2312" w:eastAsia="仿宋_GB2312" w:cs="仿宋_GB2312"/>
                <w:color w:val="auto"/>
                <w:sz w:val="28"/>
                <w:szCs w:val="28"/>
                <w:u w:val="none"/>
                <w:lang w:val="en-US" w:eastAsia="zh-CN"/>
              </w:rPr>
              <w:t xml:space="preserve"> </w:t>
            </w:r>
            <w:r>
              <w:rPr>
                <w:rFonts w:hint="eastAsia" w:ascii="仿宋_GB2312" w:hAnsi="仿宋_GB2312" w:eastAsia="仿宋_GB2312" w:cs="仿宋_GB2312"/>
                <w:color w:val="auto"/>
                <w:sz w:val="28"/>
                <w:szCs w:val="28"/>
                <w:u w:val="single"/>
                <w:lang w:val="en-US" w:eastAsia="zh-CN"/>
              </w:rPr>
              <w:t xml:space="preserve">             孙东磊                          </w:t>
            </w: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pacing w:val="28"/>
                <w:sz w:val="28"/>
                <w:szCs w:val="28"/>
                <w:u w:val="none"/>
                <w:lang w:val="en-US" w:eastAsia="zh-CN"/>
              </w:rPr>
              <w:t>评价组成员：</w:t>
            </w:r>
            <w:r>
              <w:rPr>
                <w:rFonts w:hint="eastAsia" w:ascii="仿宋_GB2312" w:hAnsi="仿宋_GB2312" w:eastAsia="仿宋_GB2312" w:cs="仿宋_GB2312"/>
                <w:color w:val="auto"/>
                <w:sz w:val="28"/>
                <w:szCs w:val="28"/>
                <w:u w:val="none"/>
                <w:lang w:val="en-US" w:eastAsia="zh-CN"/>
              </w:rPr>
              <w:t xml:space="preserve"> </w:t>
            </w:r>
            <w:r>
              <w:rPr>
                <w:rFonts w:hint="eastAsia" w:ascii="仿宋_GB2312" w:hAnsi="仿宋_GB2312" w:eastAsia="仿宋_GB2312" w:cs="仿宋_GB2312"/>
                <w:color w:val="auto"/>
                <w:sz w:val="28"/>
                <w:szCs w:val="28"/>
                <w:u w:val="single"/>
                <w:lang w:val="en-US" w:eastAsia="zh-CN"/>
              </w:rPr>
              <w:t xml:space="preserve">       杨洁、张庆广、刘慧慧                         </w:t>
            </w:r>
          </w:p>
          <w:p>
            <w:pPr>
              <w:rPr>
                <w:rFonts w:hint="eastAsia" w:ascii="仿宋_GB2312" w:hAnsi="仿宋_GB2312" w:eastAsia="仿宋_GB2312" w:cs="仿宋_GB2312"/>
                <w:color w:val="auto"/>
                <w:lang w:val="en-US" w:eastAsia="zh-CN"/>
              </w:rPr>
            </w:pPr>
          </w:p>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color w:val="auto"/>
                <w:sz w:val="32"/>
                <w:szCs w:val="40"/>
              </w:rPr>
            </w:pPr>
            <w:bookmarkStart w:id="0" w:name="_Toc7470_WPSOffice_Level1"/>
            <w:bookmarkStart w:id="1" w:name="_Toc5909_WPSOffice_Level1"/>
          </w:p>
          <w:p>
            <w:pPr>
              <w:spacing w:before="0" w:beforeLines="0" w:after="0" w:afterLines="0" w:line="240" w:lineRule="auto"/>
              <w:ind w:left="0" w:leftChars="0" w:right="0" w:rightChars="0" w:firstLine="0" w:firstLineChars="0"/>
              <w:jc w:val="both"/>
              <w:rPr>
                <w:rFonts w:hint="eastAsia" w:ascii="仿宋_GB2312" w:hAnsi="仿宋_GB2312" w:eastAsia="仿宋_GB2312" w:cs="仿宋_GB2312"/>
                <w:color w:val="auto"/>
                <w:sz w:val="32"/>
                <w:szCs w:val="40"/>
              </w:rPr>
            </w:pPr>
          </w:p>
          <w:p>
            <w:pPr>
              <w:pStyle w:val="2"/>
              <w:rPr>
                <w:rFonts w:hint="eastAsia" w:ascii="仿宋_GB2312" w:hAnsi="仿宋_GB2312" w:eastAsia="仿宋_GB2312" w:cs="仿宋_GB2312"/>
                <w:color w:val="auto"/>
                <w:sz w:val="32"/>
                <w:szCs w:val="40"/>
              </w:rPr>
            </w:pPr>
          </w:p>
          <w:p>
            <w:pPr>
              <w:rPr>
                <w:rFonts w:hint="eastAsia" w:ascii="仿宋_GB2312" w:hAnsi="仿宋_GB2312" w:eastAsia="仿宋_GB2312" w:cs="仿宋_GB2312"/>
              </w:rPr>
            </w:pPr>
          </w:p>
          <w:bookmarkEnd w:id="0"/>
          <w:bookmarkEnd w:id="1"/>
          <w:p>
            <w:pPr>
              <w:pStyle w:val="2"/>
              <w:keepNext w:val="0"/>
              <w:keepLines w:val="0"/>
              <w:pageBreakBefore w:val="0"/>
              <w:widowControl w:val="0"/>
              <w:kinsoku/>
              <w:wordWrap/>
              <w:overflowPunct/>
              <w:topLinePunct w:val="0"/>
              <w:autoSpaceDE/>
              <w:autoSpaceDN/>
              <w:bidi w:val="0"/>
              <w:adjustRightInd/>
              <w:snapToGrid/>
              <w:spacing w:line="120" w:lineRule="exact"/>
              <w:textAlignment w:val="center"/>
              <w:rPr>
                <w:rFonts w:hint="eastAsia" w:ascii="仿宋_GB2312" w:hAnsi="仿宋_GB2312" w:eastAsia="仿宋_GB2312" w:cs="仿宋_GB2312"/>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outlineLvl w:val="0"/>
              <w:rPr>
                <w:rFonts w:hint="eastAsia" w:ascii="仿宋_GB2312" w:hAnsi="仿宋_GB2312" w:eastAsia="仿宋_GB2312" w:cs="仿宋_GB2312"/>
                <w:b/>
                <w:bCs/>
                <w:color w:val="auto"/>
                <w:sz w:val="32"/>
                <w:szCs w:val="40"/>
                <w:lang w:val="en-US" w:eastAsia="zh-CN"/>
              </w:rPr>
            </w:pPr>
            <w:bookmarkStart w:id="2" w:name="_Toc9525"/>
            <w:bookmarkStart w:id="3" w:name="_Toc6314"/>
            <w:bookmarkStart w:id="4" w:name="_Toc2245"/>
            <w:bookmarkStart w:id="5" w:name="_Toc11301"/>
            <w:bookmarkStart w:id="6" w:name="_Toc30335"/>
            <w:bookmarkStart w:id="7" w:name="_Toc4013"/>
            <w:bookmarkStart w:id="8" w:name="_Toc16913"/>
            <w:bookmarkStart w:id="9" w:name="_Toc13153"/>
            <w:bookmarkStart w:id="10" w:name="_Toc23411"/>
            <w:bookmarkStart w:id="11" w:name="_Toc18334"/>
            <w:r>
              <w:rPr>
                <w:rFonts w:hint="eastAsia" w:ascii="仿宋_GB2312" w:hAnsi="仿宋_GB2312" w:eastAsia="仿宋_GB2312" w:cs="仿宋_GB2312"/>
                <w:b/>
                <w:bCs/>
                <w:color w:val="auto"/>
                <w:sz w:val="32"/>
                <w:szCs w:val="40"/>
                <w:lang w:val="en-US" w:eastAsia="zh-CN"/>
              </w:rPr>
              <w:t>一、项目概况</w:t>
            </w:r>
            <w:bookmarkEnd w:id="2"/>
            <w:bookmarkEnd w:id="3"/>
            <w:bookmarkEnd w:id="4"/>
            <w:bookmarkEnd w:id="5"/>
            <w:bookmarkEnd w:id="6"/>
            <w:bookmarkEnd w:id="7"/>
            <w:bookmarkEnd w:id="8"/>
            <w:bookmarkEnd w:id="9"/>
            <w:bookmarkEnd w:id="10"/>
            <w:bookmarkEnd w:id="11"/>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outlineLvl w:val="1"/>
              <w:rPr>
                <w:rFonts w:hint="eastAsia" w:ascii="仿宋_GB2312" w:hAnsi="仿宋_GB2312" w:eastAsia="仿宋_GB2312" w:cs="仿宋_GB2312"/>
                <w:color w:val="auto"/>
                <w:sz w:val="32"/>
                <w:szCs w:val="40"/>
                <w:lang w:val="en-US" w:eastAsia="zh-CN"/>
              </w:rPr>
            </w:pPr>
            <w:bookmarkStart w:id="12" w:name="_Toc19963"/>
            <w:bookmarkStart w:id="13" w:name="_Toc19370"/>
            <w:bookmarkStart w:id="14" w:name="_Toc937"/>
            <w:bookmarkStart w:id="15" w:name="_Toc24784"/>
            <w:bookmarkStart w:id="16" w:name="_Toc22453"/>
            <w:bookmarkStart w:id="17" w:name="_Toc30895"/>
            <w:bookmarkStart w:id="18" w:name="_Toc22285"/>
            <w:bookmarkStart w:id="19" w:name="_Toc32742"/>
            <w:bookmarkStart w:id="20" w:name="_Toc15831"/>
            <w:bookmarkStart w:id="21" w:name="_Toc23957"/>
            <w:r>
              <w:rPr>
                <w:rFonts w:hint="eastAsia" w:ascii="仿宋_GB2312" w:hAnsi="仿宋_GB2312" w:eastAsia="仿宋_GB2312" w:cs="仿宋_GB2312"/>
                <w:color w:val="auto"/>
                <w:sz w:val="32"/>
                <w:szCs w:val="40"/>
                <w:lang w:val="en-US" w:eastAsia="zh-CN"/>
              </w:rPr>
              <w:t>（一）项目单位基本情况</w:t>
            </w:r>
            <w:bookmarkEnd w:id="12"/>
            <w:bookmarkEnd w:id="13"/>
            <w:bookmarkEnd w:id="14"/>
            <w:bookmarkEnd w:id="15"/>
            <w:bookmarkEnd w:id="16"/>
            <w:bookmarkEnd w:id="17"/>
            <w:bookmarkEnd w:id="18"/>
            <w:bookmarkEnd w:id="19"/>
            <w:bookmarkEnd w:id="20"/>
            <w:bookmarkEnd w:id="21"/>
          </w:p>
          <w:p>
            <w:pPr>
              <w:widowControl/>
              <w:shd w:val="clear" w:color="auto" w:fill="FFFFFF"/>
              <w:ind w:firstLine="640" w:firstLineChars="200"/>
              <w:rPr>
                <w:rFonts w:ascii="仿宋_GB2312" w:hAnsi="仿宋_GB2312" w:eastAsia="仿宋_GB2312" w:cs="仿宋_GB2312"/>
                <w:sz w:val="32"/>
                <w:szCs w:val="40"/>
              </w:rPr>
            </w:pPr>
            <w:r>
              <w:rPr>
                <w:rFonts w:hint="eastAsia" w:ascii="仿宋_GB2312" w:hAnsi="仿宋_GB2312" w:eastAsia="仿宋_GB2312" w:cs="仿宋_GB2312"/>
                <w:color w:val="auto"/>
                <w:sz w:val="32"/>
                <w:szCs w:val="40"/>
                <w:lang w:val="en-US" w:eastAsia="zh-CN"/>
              </w:rPr>
              <w:t xml:space="preserve"> 差补费项目承担单位为邢台市气象局，住所为邢台市郭守敬北路76号，为全本财政事业单位，</w:t>
            </w:r>
            <w:r>
              <w:rPr>
                <w:rFonts w:hint="eastAsia" w:ascii="仿宋_GB2312" w:hAnsi="仿宋_GB2312" w:eastAsia="仿宋_GB2312" w:cs="仿宋_GB2312"/>
                <w:sz w:val="32"/>
                <w:szCs w:val="40"/>
              </w:rPr>
              <w:t>宗旨和业务范围为：为国家建设和社会生活提供气象管理保障、气象行业规划、气象防灾减灾和气象业务管理。主要职责包含：1</w:t>
            </w:r>
            <w:r>
              <w:rPr>
                <w:rFonts w:ascii="仿宋_GB2312" w:hAnsi="仿宋_GB2312" w:eastAsia="仿宋_GB2312" w:cs="仿宋_GB2312"/>
                <w:sz w:val="32"/>
                <w:szCs w:val="40"/>
              </w:rPr>
              <w:t>.</w:t>
            </w:r>
            <w:r>
              <w:rPr>
                <w:rFonts w:hint="eastAsia" w:ascii="仿宋_GB2312" w:hAnsi="仿宋_GB2312" w:eastAsia="仿宋_GB2312" w:cs="仿宋_GB2312"/>
                <w:sz w:val="32"/>
                <w:szCs w:val="40"/>
              </w:rPr>
              <w:t>负责编制本行政区域内气象事业发展规划、计划，并组织实施；负责本行政区域内气象设施建设项目的审查；对本行政区域内的气象活动进行指导、监督和行业管理。2</w:t>
            </w:r>
            <w:r>
              <w:rPr>
                <w:rFonts w:ascii="仿宋_GB2312" w:hAnsi="仿宋_GB2312" w:eastAsia="仿宋_GB2312" w:cs="仿宋_GB2312"/>
                <w:sz w:val="32"/>
                <w:szCs w:val="40"/>
              </w:rPr>
              <w:t>.</w:t>
            </w:r>
            <w:r>
              <w:rPr>
                <w:rFonts w:hint="eastAsia" w:ascii="仿宋_GB2312" w:hAnsi="仿宋_GB2312" w:eastAsia="仿宋_GB2312" w:cs="仿宋_GB2312"/>
                <w:sz w:val="32"/>
                <w:szCs w:val="40"/>
              </w:rPr>
              <w:t>组织管理本行政区域内气象探测资料的汇总、传输与应用；组织实施本行政区域内气象装备技术保障发展规划；依法保护气象探测环境；负责建设项目大气环境影响评价和使用气象资料审查。3.负责本行政区域内的气象监测、预报、预警管理工作；管理本行政区域内公共气象服务工作；管理本行政区域内公众气象预报、短期气候预测、灾害性天气警报以及农业气象预报、城市环境气象预报、火险气象等级预报等专业气象预报和气候影响评价的发布。4.组织制订和实施本行政区域气象灾害防御规划；组织本行政区域内气象灾害防御管理工作；负责本行政区域内突发公共事件气象保障工作。5.制定本行政区域人工影响天气工作计划报上级气象主管机构批准，并在本级人民政府的领导和协调下，管理、指导和组织辖区内人工影响天气；组织管理雷电灾害防御工作，会同有关部门指导对可能遭受袭击的建筑物、构筑物和其它设施安装的雷电灾害防护装置的检测工作，负责本行政区域内防雷装置的设计审核和竣工验收；按照职责分工，在当地人民政府的指导和协调下，负责管理本行政区域内的施放气球活动。6.组织本区域气候资源的综合调查、区划，指导气候资源的开发利用和保护，组织并审查重点建设工程、重大区域经济开发项目和城乡建设规划的气候可行性论证和气象灾害风险评估；参与本级人民政府应对气候变化工作，组织开展气候变化影响评估和决策咨询服务。7</w:t>
            </w:r>
            <w:r>
              <w:rPr>
                <w:rFonts w:ascii="仿宋_GB2312" w:hAnsi="仿宋_GB2312" w:eastAsia="仿宋_GB2312" w:cs="仿宋_GB2312"/>
                <w:sz w:val="32"/>
                <w:szCs w:val="40"/>
              </w:rPr>
              <w:t>.</w:t>
            </w:r>
            <w:r>
              <w:rPr>
                <w:rFonts w:hint="eastAsia" w:ascii="仿宋_GB2312" w:hAnsi="仿宋_GB2312" w:eastAsia="仿宋_GB2312" w:cs="仿宋_GB2312"/>
                <w:sz w:val="32"/>
                <w:szCs w:val="40"/>
              </w:rPr>
              <w:t>组织开展气象法制宣传教育，负责监督有关气象法规的实施，对违反《中华人民共和国气象法》等法律法规有关规定的行为依法进行处罚，承担有关行政复议和行政诉讼；组织宣传、普及气象科学知识，提高全民气象防灾减灾和应对气候变化意识。8.统一领导和管理本行政区域内气象部门的计划财务、人事劳动、科研和培训以及业务建设等工作；会同县（区、市）人民政府对县（区、市）气象机构实施以部门为主的双重管理；协助地方党委和人民政府做好当地气象部门党的建设、精神文明和气象文化建设。9.承担上级气象主管机构和本级人民政府交办的其它事项</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outlineLvl w:val="1"/>
              <w:rPr>
                <w:rFonts w:hint="eastAsia" w:ascii="仿宋_GB2312" w:hAnsi="仿宋_GB2312" w:eastAsia="仿宋_GB2312" w:cs="仿宋_GB2312"/>
                <w:color w:val="auto"/>
                <w:sz w:val="32"/>
                <w:szCs w:val="40"/>
                <w:lang w:val="en-US" w:eastAsia="zh-CN"/>
              </w:rPr>
            </w:pPr>
            <w:bookmarkStart w:id="22" w:name="_Toc29308"/>
            <w:bookmarkStart w:id="23" w:name="_Toc15167"/>
            <w:bookmarkStart w:id="24" w:name="_Toc8843"/>
            <w:r>
              <w:rPr>
                <w:rFonts w:hint="eastAsia" w:ascii="仿宋_GB2312" w:hAnsi="仿宋_GB2312" w:eastAsia="仿宋_GB2312" w:cs="仿宋_GB2312"/>
                <w:color w:val="auto"/>
                <w:sz w:val="32"/>
                <w:szCs w:val="40"/>
                <w:lang w:val="en-US" w:eastAsia="zh-CN"/>
              </w:rPr>
              <w:t>项目基本情况</w:t>
            </w:r>
            <w:bookmarkEnd w:id="22"/>
            <w:bookmarkEnd w:id="23"/>
            <w:bookmarkEnd w:id="24"/>
          </w:p>
          <w:p>
            <w:pPr>
              <w:pStyle w:val="2"/>
              <w:numPr>
                <w:ilvl w:val="0"/>
                <w:numId w:val="0"/>
              </w:numPr>
              <w:rPr>
                <w:rFonts w:hint="default" w:eastAsia="仿宋_GB2312"/>
                <w:lang w:val="en-US" w:eastAsia="zh-CN"/>
              </w:rPr>
            </w:pPr>
            <w:r>
              <w:rPr>
                <w:rFonts w:hint="eastAsia"/>
                <w:lang w:val="en-US" w:eastAsia="zh-CN"/>
              </w:rPr>
              <w:t xml:space="preserve">    </w:t>
            </w:r>
            <w:r>
              <w:rPr>
                <w:rFonts w:hint="eastAsia" w:ascii="仿宋_GB2312" w:hAnsi="仿宋_GB2312" w:eastAsia="仿宋_GB2312" w:cs="仿宋_GB2312"/>
                <w:color w:val="auto"/>
                <w:kern w:val="2"/>
                <w:sz w:val="32"/>
                <w:szCs w:val="40"/>
                <w:lang w:val="en-US" w:eastAsia="zh-CN" w:bidi="ar-SA"/>
              </w:rPr>
              <w:t>差补费项目金额为907万元，</w:t>
            </w:r>
            <w:r>
              <w:rPr>
                <w:rFonts w:hint="eastAsia" w:ascii="仿宋_GB2312" w:eastAsia="仿宋_GB2312"/>
                <w:color w:val="000000" w:themeColor="text1"/>
                <w:sz w:val="32"/>
                <w:szCs w:val="32"/>
                <w14:textFill>
                  <w14:solidFill>
                    <w14:schemeClr w14:val="tx1"/>
                  </w14:solidFill>
                </w14:textFill>
              </w:rPr>
              <w:t>实际到位</w:t>
            </w:r>
            <w:r>
              <w:rPr>
                <w:rFonts w:hint="eastAsia" w:ascii="仿宋_GB2312" w:eastAsia="仿宋_GB2312"/>
                <w:color w:val="000000" w:themeColor="text1"/>
                <w:sz w:val="32"/>
                <w:szCs w:val="32"/>
                <w:lang w:val="en-US" w:eastAsia="zh-CN"/>
                <w14:textFill>
                  <w14:solidFill>
                    <w14:schemeClr w14:val="tx1"/>
                  </w14:solidFill>
                </w14:textFill>
              </w:rPr>
              <w:t>907</w:t>
            </w:r>
            <w:r>
              <w:rPr>
                <w:rFonts w:hint="eastAsia" w:ascii="仿宋_GB2312" w:eastAsia="仿宋_GB2312"/>
                <w:color w:val="000000" w:themeColor="text1"/>
                <w:sz w:val="32"/>
                <w:szCs w:val="32"/>
                <w14:textFill>
                  <w14:solidFill>
                    <w14:schemeClr w14:val="tx1"/>
                  </w14:solidFill>
                </w14:textFill>
              </w:rPr>
              <w:t>万元，资金到位率100%，到位及时率100%。</w:t>
            </w:r>
            <w:r>
              <w:rPr>
                <w:rFonts w:hint="eastAsia" w:ascii="仿宋_GB2312" w:eastAsia="仿宋_GB2312"/>
                <w:color w:val="000000" w:themeColor="text1"/>
                <w:sz w:val="32"/>
                <w:szCs w:val="32"/>
                <w:lang w:eastAsia="zh-CN"/>
                <w14:textFill>
                  <w14:solidFill>
                    <w14:schemeClr w14:val="tx1"/>
                  </w14:solidFill>
                </w14:textFill>
              </w:rPr>
              <w:t>项目数量为</w:t>
            </w:r>
            <w:r>
              <w:rPr>
                <w:rFonts w:hint="eastAsia" w:ascii="仿宋_GB2312" w:eastAsia="仿宋_GB2312"/>
                <w:color w:val="000000" w:themeColor="text1"/>
                <w:sz w:val="32"/>
                <w:szCs w:val="32"/>
                <w:lang w:val="en-US" w:eastAsia="zh-CN"/>
                <w14:textFill>
                  <w14:solidFill>
                    <w14:schemeClr w14:val="tx1"/>
                  </w14:solidFill>
                </w14:textFill>
              </w:rPr>
              <w:t>1项，按照相关规定按时足额给职工发放工资及津补贴。</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3" w:firstLineChars="200"/>
              <w:textAlignment w:val="auto"/>
              <w:outlineLvl w:val="0"/>
              <w:rPr>
                <w:rFonts w:hint="eastAsia" w:ascii="仿宋_GB2312" w:hAnsi="仿宋_GB2312" w:eastAsia="仿宋_GB2312" w:cs="仿宋_GB2312"/>
                <w:b/>
                <w:bCs/>
                <w:color w:val="auto"/>
                <w:sz w:val="32"/>
                <w:szCs w:val="40"/>
                <w:lang w:val="en-US" w:eastAsia="zh-CN"/>
              </w:rPr>
            </w:pPr>
            <w:bookmarkStart w:id="25" w:name="_Toc17782"/>
            <w:bookmarkStart w:id="26" w:name="_Toc7839"/>
            <w:bookmarkStart w:id="27" w:name="_Toc2988"/>
            <w:bookmarkStart w:id="28" w:name="_Toc26109"/>
            <w:bookmarkStart w:id="29" w:name="_Toc28908"/>
            <w:bookmarkStart w:id="30" w:name="_Toc12860"/>
            <w:bookmarkStart w:id="31" w:name="_Toc18992"/>
            <w:bookmarkStart w:id="32" w:name="_Toc14644"/>
            <w:bookmarkStart w:id="33" w:name="_Toc6781"/>
            <w:bookmarkStart w:id="34" w:name="_Toc4859"/>
            <w:r>
              <w:rPr>
                <w:rFonts w:hint="eastAsia" w:ascii="仿宋_GB2312" w:hAnsi="仿宋_GB2312" w:eastAsia="仿宋_GB2312" w:cs="仿宋_GB2312"/>
                <w:b/>
                <w:bCs/>
                <w:color w:val="auto"/>
                <w:sz w:val="32"/>
                <w:szCs w:val="40"/>
                <w:lang w:val="en-US" w:eastAsia="zh-CN"/>
              </w:rPr>
              <w:t>项目实施情况</w:t>
            </w:r>
            <w:bookmarkEnd w:id="25"/>
            <w:bookmarkEnd w:id="26"/>
            <w:bookmarkEnd w:id="27"/>
            <w:bookmarkEnd w:id="28"/>
            <w:bookmarkEnd w:id="29"/>
            <w:bookmarkEnd w:id="30"/>
            <w:bookmarkEnd w:id="31"/>
            <w:bookmarkEnd w:id="32"/>
            <w:bookmarkEnd w:id="33"/>
            <w:bookmarkEnd w:id="34"/>
          </w:p>
          <w:p>
            <w:pPr>
              <w:spacing w:line="360" w:lineRule="auto"/>
              <w:ind w:firstLine="640"/>
              <w:rPr>
                <w:rFonts w:hint="default" w:eastAsia="仿宋_GB2312"/>
                <w:lang w:val="en-US" w:eastAsia="zh-CN"/>
              </w:rPr>
            </w:pPr>
            <w:r>
              <w:rPr>
                <w:rFonts w:hint="eastAsia" w:ascii="仿宋_GB2312" w:hAnsi="仿宋_GB2312" w:eastAsia="仿宋_GB2312" w:cs="仿宋_GB2312"/>
                <w:color w:val="auto"/>
                <w:kern w:val="2"/>
                <w:sz w:val="32"/>
                <w:szCs w:val="40"/>
                <w:lang w:val="en-US" w:eastAsia="zh-CN" w:bidi="ar-SA"/>
              </w:rPr>
              <w:t>差补费项目按照绩效目标设定以及相关文件要求，及时足额</w:t>
            </w:r>
            <w:r>
              <w:rPr>
                <w:rFonts w:hint="eastAsia" w:ascii="仿宋_GB2312" w:eastAsia="仿宋_GB2312"/>
                <w:color w:val="000000" w:themeColor="text1"/>
                <w:sz w:val="32"/>
                <w:szCs w:val="32"/>
                <w:lang w:val="en-US" w:eastAsia="zh-CN"/>
                <w14:textFill>
                  <w14:solidFill>
                    <w14:schemeClr w14:val="tx1"/>
                  </w14:solidFill>
                </w14:textFill>
              </w:rPr>
              <w:t>给职工发放工资及津补贴。此</w:t>
            </w:r>
            <w:r>
              <w:rPr>
                <w:rFonts w:hint="eastAsia" w:ascii="仿宋_GB2312" w:hAnsi="仿宋_GB2312" w:eastAsia="仿宋_GB2312"/>
                <w:sz w:val="32"/>
                <w:szCs w:val="32"/>
              </w:rPr>
              <w:t>严格按照市财政局有关要求，开展项目建设、资金投入、组织保障、项目建设目标、项目预期目标等工作，思路清晰、内容详实、措施具体、目标明确、操作性强。项目支出</w:t>
            </w:r>
            <w:r>
              <w:rPr>
                <w:rFonts w:ascii="仿宋_GB2312" w:hAnsi="仿宋_GB2312" w:eastAsia="仿宋_GB2312"/>
                <w:sz w:val="32"/>
                <w:szCs w:val="32"/>
              </w:rPr>
              <w:t>基本与项目预算相符。</w:t>
            </w:r>
            <w:r>
              <w:rPr>
                <w:rFonts w:hint="eastAsia" w:ascii="仿宋_GB2312" w:hAnsi="仿宋_GB2312" w:eastAsia="仿宋_GB2312"/>
                <w:sz w:val="32"/>
                <w:szCs w:val="32"/>
                <w:lang w:val="en-US" w:eastAsia="zh-CN"/>
              </w:rPr>
              <w:t>2023年，市级预算拨款907万元，实际支出907万元，其中津贴补贴323万元，绩效工资348万元，退休工资236万元.</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outlineLvl w:val="0"/>
              <w:rPr>
                <w:rFonts w:hint="eastAsia" w:ascii="仿宋_GB2312" w:hAnsi="仿宋_GB2312" w:eastAsia="仿宋_GB2312" w:cs="仿宋_GB2312"/>
                <w:b/>
                <w:bCs/>
                <w:color w:val="auto"/>
                <w:sz w:val="32"/>
                <w:szCs w:val="40"/>
                <w:lang w:val="en-US" w:eastAsia="zh-CN"/>
              </w:rPr>
            </w:pPr>
            <w:bookmarkStart w:id="35" w:name="_Toc10651"/>
            <w:bookmarkStart w:id="36" w:name="_Toc21501"/>
            <w:bookmarkStart w:id="37" w:name="_Toc5215"/>
            <w:bookmarkStart w:id="38" w:name="_Toc12150"/>
            <w:bookmarkStart w:id="39" w:name="_Toc6451"/>
            <w:bookmarkStart w:id="40" w:name="_Toc20904"/>
            <w:bookmarkStart w:id="41" w:name="_Toc5317"/>
            <w:bookmarkStart w:id="42" w:name="_Toc26855"/>
            <w:bookmarkStart w:id="43" w:name="_Toc29800"/>
            <w:bookmarkStart w:id="44" w:name="_Toc18915"/>
            <w:r>
              <w:rPr>
                <w:rFonts w:hint="eastAsia" w:ascii="仿宋_GB2312" w:hAnsi="仿宋_GB2312" w:eastAsia="仿宋_GB2312" w:cs="仿宋_GB2312"/>
                <w:b/>
                <w:bCs/>
                <w:color w:val="auto"/>
                <w:sz w:val="32"/>
                <w:szCs w:val="40"/>
                <w:lang w:val="en-US" w:eastAsia="zh-CN"/>
              </w:rPr>
              <w:t>三、绩效评价工作情况</w:t>
            </w:r>
            <w:bookmarkEnd w:id="35"/>
            <w:bookmarkEnd w:id="36"/>
            <w:bookmarkEnd w:id="37"/>
            <w:bookmarkEnd w:id="38"/>
            <w:bookmarkEnd w:id="39"/>
            <w:bookmarkEnd w:id="40"/>
            <w:bookmarkEnd w:id="41"/>
            <w:bookmarkEnd w:id="42"/>
            <w:bookmarkEnd w:id="43"/>
            <w:bookmarkEnd w:id="44"/>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outlineLvl w:val="1"/>
              <w:rPr>
                <w:rFonts w:hint="eastAsia" w:ascii="仿宋_GB2312" w:hAnsi="仿宋_GB2312" w:eastAsia="仿宋_GB2312" w:cs="仿宋_GB2312"/>
                <w:b w:val="0"/>
                <w:bCs w:val="0"/>
                <w:color w:val="auto"/>
                <w:sz w:val="32"/>
                <w:szCs w:val="40"/>
                <w:lang w:val="en-US" w:eastAsia="zh-CN"/>
              </w:rPr>
            </w:pPr>
            <w:bookmarkStart w:id="45" w:name="_Toc4056"/>
            <w:bookmarkStart w:id="46" w:name="_Toc5105"/>
            <w:bookmarkStart w:id="47" w:name="_Toc15730"/>
            <w:bookmarkStart w:id="48" w:name="_Toc17355"/>
            <w:bookmarkStart w:id="49" w:name="_Toc7570"/>
            <w:bookmarkStart w:id="50" w:name="_Toc25600"/>
            <w:bookmarkStart w:id="51" w:name="_Toc23608"/>
            <w:bookmarkStart w:id="52" w:name="_Toc8077"/>
            <w:bookmarkStart w:id="53" w:name="_Toc22771"/>
            <w:bookmarkStart w:id="54" w:name="_Toc14742"/>
            <w:r>
              <w:rPr>
                <w:rFonts w:hint="eastAsia" w:ascii="仿宋_GB2312" w:hAnsi="仿宋_GB2312" w:eastAsia="仿宋_GB2312" w:cs="仿宋_GB2312"/>
                <w:b w:val="0"/>
                <w:bCs w:val="0"/>
                <w:color w:val="auto"/>
                <w:sz w:val="32"/>
                <w:szCs w:val="40"/>
                <w:lang w:val="en-US" w:eastAsia="zh-CN"/>
              </w:rPr>
              <w:t>（一）评价目的</w:t>
            </w:r>
            <w:bookmarkEnd w:id="45"/>
            <w:bookmarkEnd w:id="46"/>
            <w:bookmarkEnd w:id="47"/>
            <w:bookmarkEnd w:id="48"/>
            <w:bookmarkEnd w:id="49"/>
            <w:bookmarkEnd w:id="50"/>
            <w:bookmarkEnd w:id="51"/>
            <w:bookmarkEnd w:id="52"/>
            <w:bookmarkEnd w:id="53"/>
            <w:bookmarkEnd w:id="54"/>
          </w:p>
          <w:p>
            <w:pPr>
              <w:pStyle w:val="2"/>
              <w:rPr>
                <w:rFonts w:hint="eastAsia" w:ascii="仿宋_GB2312" w:hAnsi="仿宋_GB2312" w:eastAsia="仿宋_GB2312" w:cs="Times New Roman"/>
                <w:kern w:val="2"/>
                <w:sz w:val="32"/>
                <w:szCs w:val="32"/>
                <w:lang w:val="en-US" w:eastAsia="zh-CN" w:bidi="ar-SA"/>
              </w:rPr>
            </w:pPr>
            <w:r>
              <w:rPr>
                <w:rFonts w:hint="eastAsia" w:ascii="仿宋_GB2312" w:hAnsi="仿宋_GB2312" w:eastAsia="仿宋_GB2312" w:cs="Times New Roman"/>
                <w:color w:val="auto"/>
                <w:kern w:val="2"/>
                <w:sz w:val="32"/>
                <w:szCs w:val="32"/>
                <w:lang w:val="en-US" w:eastAsia="zh-CN" w:bidi="ar-SA"/>
              </w:rPr>
              <w:t>实施项目绩效评价，需要用客观态度共同分析成功或失败的原因，可以及时总结各方面的经验教训，才能在以后的工作中保持一个较高的绩效标准，在将来避免问题的发生。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200" w:firstLine="320" w:firstLineChars="100"/>
              <w:textAlignment w:val="auto"/>
              <w:outlineLvl w:val="1"/>
              <w:rPr>
                <w:rFonts w:hint="eastAsia" w:ascii="仿宋_GB2312" w:hAnsi="仿宋_GB2312" w:eastAsia="仿宋_GB2312" w:cs="仿宋_GB2312"/>
                <w:color w:val="auto"/>
                <w:sz w:val="32"/>
                <w:szCs w:val="40"/>
                <w:highlight w:val="none"/>
                <w:lang w:val="en-US" w:eastAsia="zh-CN"/>
              </w:rPr>
            </w:pPr>
            <w:bookmarkStart w:id="55" w:name="_Toc27346"/>
            <w:bookmarkStart w:id="56" w:name="_Toc16971"/>
            <w:bookmarkStart w:id="57" w:name="_Toc18502"/>
            <w:bookmarkStart w:id="58" w:name="_Toc8288"/>
            <w:bookmarkStart w:id="59" w:name="_Toc30351"/>
            <w:bookmarkStart w:id="60" w:name="_Toc16121"/>
            <w:bookmarkStart w:id="61" w:name="_Toc27199"/>
            <w:bookmarkStart w:id="62" w:name="_Toc3910"/>
            <w:bookmarkStart w:id="63" w:name="_Toc22727"/>
            <w:bookmarkStart w:id="64" w:name="_Toc25746"/>
            <w:r>
              <w:rPr>
                <w:rFonts w:hint="eastAsia" w:ascii="仿宋_GB2312" w:hAnsi="仿宋_GB2312" w:eastAsia="仿宋_GB2312" w:cs="仿宋_GB2312"/>
                <w:color w:val="auto"/>
                <w:sz w:val="32"/>
                <w:szCs w:val="40"/>
                <w:highlight w:val="none"/>
                <w:lang w:val="en-US" w:eastAsia="zh-CN"/>
              </w:rPr>
              <w:t>（二）评价指标</w:t>
            </w:r>
            <w:bookmarkEnd w:id="55"/>
            <w:bookmarkEnd w:id="56"/>
            <w:bookmarkEnd w:id="57"/>
            <w:bookmarkEnd w:id="58"/>
            <w:bookmarkEnd w:id="59"/>
            <w:bookmarkEnd w:id="60"/>
            <w:bookmarkEnd w:id="61"/>
            <w:bookmarkEnd w:id="62"/>
            <w:bookmarkEnd w:id="63"/>
            <w:bookmarkEnd w:id="64"/>
          </w:p>
          <w:p>
            <w:pPr>
              <w:spacing w:line="560" w:lineRule="atLeast"/>
              <w:jc w:val="left"/>
              <w:rPr>
                <w:rFonts w:ascii="仿宋_GB2312" w:hAnsi="黑体" w:eastAsia="仿宋_GB2312"/>
                <w:sz w:val="32"/>
              </w:rPr>
            </w:pPr>
            <w:r>
              <w:rPr>
                <w:rFonts w:hint="eastAsia"/>
                <w:lang w:val="en-US" w:eastAsia="zh-CN"/>
              </w:rPr>
              <w:t xml:space="preserve">  </w:t>
            </w:r>
            <w:r>
              <w:rPr>
                <w:rFonts w:hint="eastAsia" w:ascii="仿宋_GB2312" w:hAnsi="黑体" w:eastAsia="仿宋_GB2312"/>
                <w:sz w:val="32"/>
                <w:lang w:val="en-US" w:eastAsia="zh-CN"/>
              </w:rPr>
              <w:t xml:space="preserve">    </w:t>
            </w:r>
            <w:r>
              <w:rPr>
                <w:rFonts w:hint="eastAsia" w:ascii="仿宋_GB2312" w:hAnsi="黑体" w:eastAsia="仿宋_GB2312"/>
                <w:b/>
                <w:bCs/>
                <w:sz w:val="32"/>
              </w:rPr>
              <w:t>产出指标：</w:t>
            </w:r>
          </w:p>
          <w:p>
            <w:pPr>
              <w:spacing w:line="560" w:lineRule="atLeast"/>
              <w:jc w:val="left"/>
              <w:rPr>
                <w:rFonts w:ascii="仿宋_GB2312" w:hAnsi="黑体" w:eastAsia="仿宋_GB2312"/>
                <w:sz w:val="32"/>
              </w:rPr>
            </w:pPr>
            <w:r>
              <w:rPr>
                <w:rFonts w:hint="eastAsia" w:ascii="仿宋_GB2312" w:hAnsi="黑体" w:eastAsia="仿宋_GB2312"/>
                <w:sz w:val="32"/>
              </w:rPr>
              <w:t xml:space="preserve">    数量指标：完成202</w:t>
            </w:r>
            <w:r>
              <w:rPr>
                <w:rFonts w:hint="eastAsia" w:ascii="仿宋_GB2312" w:hAnsi="黑体" w:eastAsia="仿宋_GB2312"/>
                <w:sz w:val="32"/>
                <w:lang w:val="en-US" w:eastAsia="zh-CN"/>
              </w:rPr>
              <w:t>3</w:t>
            </w:r>
            <w:r>
              <w:rPr>
                <w:rFonts w:hint="eastAsia" w:ascii="仿宋_GB2312" w:hAnsi="黑体" w:eastAsia="仿宋_GB2312"/>
                <w:sz w:val="32"/>
              </w:rPr>
              <w:t>年津补贴、绩效工资发放人次12</w:t>
            </w:r>
            <w:r>
              <w:rPr>
                <w:rFonts w:hint="eastAsia" w:ascii="仿宋_GB2312" w:hAnsi="黑体" w:eastAsia="仿宋_GB2312"/>
                <w:sz w:val="32"/>
                <w:lang w:val="en-US" w:eastAsia="zh-CN"/>
              </w:rPr>
              <w:t>3</w:t>
            </w:r>
            <w:r>
              <w:rPr>
                <w:rFonts w:hint="eastAsia" w:ascii="仿宋_GB2312" w:hAnsi="黑体" w:eastAsia="仿宋_GB2312"/>
                <w:sz w:val="32"/>
              </w:rPr>
              <w:t>2人次；全年发放职工津补贴次数12次。</w:t>
            </w:r>
          </w:p>
          <w:p>
            <w:pPr>
              <w:spacing w:line="560" w:lineRule="atLeast"/>
              <w:jc w:val="left"/>
              <w:rPr>
                <w:rFonts w:ascii="仿宋_GB2312" w:hAnsi="黑体" w:eastAsia="仿宋_GB2312"/>
                <w:sz w:val="32"/>
              </w:rPr>
            </w:pPr>
            <w:r>
              <w:rPr>
                <w:rFonts w:hint="eastAsia" w:ascii="仿宋_GB2312" w:hAnsi="黑体" w:eastAsia="仿宋_GB2312"/>
                <w:sz w:val="32"/>
              </w:rPr>
              <w:t xml:space="preserve">    质量指标：完成202</w:t>
            </w:r>
            <w:r>
              <w:rPr>
                <w:rFonts w:hint="eastAsia" w:ascii="仿宋_GB2312" w:hAnsi="黑体" w:eastAsia="仿宋_GB2312"/>
                <w:sz w:val="32"/>
                <w:lang w:val="en-US" w:eastAsia="zh-CN"/>
              </w:rPr>
              <w:t>1</w:t>
            </w:r>
            <w:r>
              <w:rPr>
                <w:rFonts w:hint="eastAsia" w:ascii="仿宋_GB2312" w:hAnsi="黑体" w:eastAsia="仿宋_GB2312"/>
                <w:sz w:val="32"/>
              </w:rPr>
              <w:t>年度职工津补贴、绩效工资发放，发放覆盖率为100%，完成率100%。</w:t>
            </w:r>
          </w:p>
          <w:p>
            <w:pPr>
              <w:spacing w:line="560" w:lineRule="atLeast"/>
              <w:jc w:val="left"/>
              <w:rPr>
                <w:rFonts w:ascii="仿宋_GB2312" w:hAnsi="黑体" w:eastAsia="仿宋_GB2312"/>
                <w:sz w:val="32"/>
              </w:rPr>
            </w:pPr>
            <w:r>
              <w:rPr>
                <w:rFonts w:hint="eastAsia" w:ascii="仿宋_GB2312" w:hAnsi="黑体" w:eastAsia="仿宋_GB2312"/>
                <w:sz w:val="32"/>
              </w:rPr>
              <w:t xml:space="preserve">    成本指标：全年发放职工津补贴金额</w:t>
            </w:r>
            <w:r>
              <w:rPr>
                <w:rFonts w:hint="eastAsia" w:ascii="仿宋_GB2312" w:hAnsi="黑体" w:eastAsia="仿宋_GB2312"/>
                <w:sz w:val="32"/>
                <w:lang w:val="en-US" w:eastAsia="zh-CN"/>
              </w:rPr>
              <w:t>907</w:t>
            </w:r>
            <w:r>
              <w:rPr>
                <w:rFonts w:hint="eastAsia" w:ascii="仿宋_GB2312" w:hAnsi="黑体" w:eastAsia="仿宋_GB2312"/>
                <w:sz w:val="32"/>
              </w:rPr>
              <w:t>万元。</w:t>
            </w:r>
          </w:p>
          <w:p>
            <w:pPr>
              <w:spacing w:line="560" w:lineRule="atLeast"/>
              <w:jc w:val="left"/>
              <w:rPr>
                <w:rFonts w:ascii="仿宋_GB2312" w:hAnsi="黑体" w:eastAsia="仿宋_GB2312"/>
                <w:sz w:val="32"/>
              </w:rPr>
            </w:pPr>
            <w:r>
              <w:rPr>
                <w:rFonts w:hint="eastAsia" w:ascii="仿宋_GB2312" w:hAnsi="黑体" w:eastAsia="仿宋_GB2312"/>
                <w:sz w:val="32"/>
              </w:rPr>
              <w:t xml:space="preserve">    时效指标：按时发放职工津补贴，及时率达100%。</w:t>
            </w:r>
          </w:p>
          <w:p>
            <w:pPr>
              <w:spacing w:line="560" w:lineRule="atLeast"/>
              <w:jc w:val="left"/>
              <w:rPr>
                <w:rFonts w:ascii="仿宋_GB2312" w:hAnsi="黑体" w:eastAsia="仿宋_GB2312"/>
                <w:sz w:val="32"/>
              </w:rPr>
            </w:pPr>
            <w:r>
              <w:rPr>
                <w:rFonts w:hint="eastAsia" w:ascii="仿宋_GB2312" w:hAnsi="黑体" w:eastAsia="仿宋_GB2312"/>
                <w:sz w:val="32"/>
              </w:rPr>
              <w:t xml:space="preserve">   </w:t>
            </w:r>
            <w:r>
              <w:rPr>
                <w:rFonts w:hint="eastAsia" w:ascii="仿宋_GB2312" w:hAnsi="黑体" w:eastAsia="仿宋_GB2312"/>
                <w:b/>
                <w:bCs/>
                <w:sz w:val="32"/>
              </w:rPr>
              <w:t xml:space="preserve"> 效果指标：</w:t>
            </w:r>
          </w:p>
          <w:p>
            <w:pPr>
              <w:spacing w:line="560" w:lineRule="atLeast"/>
              <w:jc w:val="left"/>
              <w:rPr>
                <w:rFonts w:hint="default" w:eastAsia="仿宋_GB2312"/>
                <w:lang w:val="en-US" w:eastAsia="zh-CN"/>
              </w:rPr>
            </w:pPr>
            <w:r>
              <w:rPr>
                <w:rFonts w:hint="eastAsia" w:ascii="仿宋_GB2312" w:hAnsi="黑体" w:eastAsia="仿宋_GB2312"/>
                <w:sz w:val="32"/>
              </w:rPr>
              <w:t xml:space="preserve">    社会效益：单位年终考核成绩优良率</w:t>
            </w:r>
            <w:r>
              <w:rPr>
                <w:rFonts w:hint="eastAsia" w:ascii="仿宋_GB2312" w:hAnsi="黑体" w:eastAsia="仿宋_GB2312"/>
                <w:sz w:val="32"/>
                <w:lang w:eastAsia="zh-CN"/>
              </w:rPr>
              <w:t>达标，单位重点工作完成率</w:t>
            </w:r>
            <w:r>
              <w:rPr>
                <w:rFonts w:hint="eastAsia" w:ascii="仿宋_GB2312" w:hAnsi="黑体" w:eastAsia="仿宋_GB2312"/>
                <w:sz w:val="32"/>
                <w:lang w:val="en-US" w:eastAsia="zh-CN"/>
              </w:rPr>
              <w:t>100%。</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textAlignment w:val="auto"/>
              <w:outlineLvl w:val="1"/>
              <w:rPr>
                <w:rFonts w:hint="eastAsia" w:ascii="仿宋_GB2312" w:hAnsi="仿宋_GB2312" w:eastAsia="仿宋_GB2312" w:cs="仿宋_GB2312"/>
                <w:color w:val="auto"/>
                <w:sz w:val="32"/>
                <w:szCs w:val="40"/>
                <w:lang w:val="en-US" w:eastAsia="zh-CN"/>
              </w:rPr>
            </w:pPr>
            <w:bookmarkStart w:id="65" w:name="_Toc32306"/>
            <w:bookmarkStart w:id="66" w:name="_Toc5304"/>
            <w:bookmarkStart w:id="67" w:name="_Toc12572"/>
            <w:bookmarkStart w:id="68" w:name="_Toc19154"/>
            <w:bookmarkStart w:id="69" w:name="_Toc5587"/>
            <w:bookmarkStart w:id="70" w:name="_Toc19068"/>
            <w:bookmarkStart w:id="71" w:name="_Toc25343"/>
            <w:bookmarkStart w:id="72" w:name="_Toc23270"/>
            <w:bookmarkStart w:id="73" w:name="_Toc32241"/>
            <w:bookmarkStart w:id="74" w:name="_Toc11684"/>
            <w:r>
              <w:rPr>
                <w:rFonts w:hint="eastAsia" w:ascii="仿宋_GB2312" w:hAnsi="仿宋_GB2312" w:eastAsia="仿宋_GB2312" w:cs="仿宋_GB2312"/>
                <w:color w:val="auto"/>
                <w:sz w:val="32"/>
                <w:szCs w:val="40"/>
                <w:lang w:val="en-US" w:eastAsia="zh-CN"/>
              </w:rPr>
              <w:t>评价依据</w:t>
            </w:r>
            <w:bookmarkEnd w:id="65"/>
            <w:bookmarkEnd w:id="66"/>
            <w:bookmarkEnd w:id="67"/>
            <w:bookmarkEnd w:id="68"/>
            <w:bookmarkEnd w:id="69"/>
            <w:bookmarkEnd w:id="70"/>
            <w:bookmarkEnd w:id="71"/>
            <w:bookmarkEnd w:id="72"/>
            <w:bookmarkEnd w:id="73"/>
            <w:bookmarkEnd w:id="74"/>
          </w:p>
          <w:p>
            <w:pPr>
              <w:spacing w:line="560" w:lineRule="atLeast"/>
              <w:ind w:firstLine="640" w:firstLineChars="200"/>
              <w:rPr>
                <w:rFonts w:ascii="仿宋_GB2312" w:eastAsia="仿宋_GB2312"/>
                <w:sz w:val="32"/>
                <w:szCs w:val="32"/>
              </w:rPr>
            </w:pPr>
            <w:r>
              <w:rPr>
                <w:rFonts w:hint="eastAsia" w:ascii="仿宋_GB2312" w:hAnsi="黑体" w:eastAsia="仿宋_GB2312"/>
                <w:sz w:val="32"/>
                <w:szCs w:val="32"/>
              </w:rPr>
              <w:t>依据《邢台市市级部门预算绩效管理办法》（邢市财预〔2019〕66号）、《邢台市市级部门整体预算绩效评价暂行办法》（邢市财预〔2019〕65号）和《邢台市市级部门绩效自评办法》（邢市财预〔2019〕75号）</w:t>
            </w:r>
            <w:r>
              <w:rPr>
                <w:rFonts w:hint="eastAsia" w:ascii="仿宋_GB2312" w:eastAsia="仿宋_GB2312"/>
                <w:sz w:val="32"/>
                <w:szCs w:val="32"/>
              </w:rPr>
              <w:t>规定的原则，结合气象局实际情况，制定绩效评价标准。</w:t>
            </w:r>
          </w:p>
          <w:p>
            <w:pPr>
              <w:spacing w:line="560" w:lineRule="atLeast"/>
              <w:ind w:firstLine="640" w:firstLineChars="200"/>
              <w:rPr>
                <w:rFonts w:hint="eastAsia"/>
                <w:lang w:val="en-US" w:eastAsia="zh-CN"/>
              </w:rPr>
            </w:pPr>
            <w:r>
              <w:rPr>
                <w:rFonts w:hint="eastAsia" w:ascii="仿宋_GB2312" w:eastAsia="仿宋_GB2312"/>
                <w:sz w:val="32"/>
                <w:szCs w:val="32"/>
              </w:rPr>
              <w:t>通过专家评估，对各项绩效评价内容完成情况进行打分，并根据分值评价绩效目标完成情况的评价方法。</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textAlignment w:val="auto"/>
              <w:outlineLvl w:val="1"/>
              <w:rPr>
                <w:rFonts w:hint="eastAsia" w:ascii="仿宋_GB2312" w:hAnsi="仿宋_GB2312" w:eastAsia="仿宋_GB2312" w:cs="仿宋_GB2312"/>
                <w:color w:val="auto"/>
                <w:sz w:val="32"/>
                <w:szCs w:val="40"/>
                <w:lang w:val="en-US" w:eastAsia="zh-CN"/>
              </w:rPr>
            </w:pPr>
            <w:bookmarkStart w:id="75" w:name="_Toc7393"/>
            <w:bookmarkStart w:id="76" w:name="_Toc12940"/>
            <w:bookmarkStart w:id="77" w:name="_Toc1868"/>
            <w:bookmarkStart w:id="78" w:name="_Toc24302"/>
            <w:bookmarkStart w:id="79" w:name="_Toc13179"/>
            <w:bookmarkStart w:id="80" w:name="_Toc11243"/>
            <w:bookmarkStart w:id="81" w:name="_Toc22038"/>
            <w:bookmarkStart w:id="82" w:name="_Toc9401"/>
            <w:bookmarkStart w:id="83" w:name="_Toc6747"/>
            <w:bookmarkStart w:id="84" w:name="_Toc26780"/>
            <w:r>
              <w:rPr>
                <w:rFonts w:hint="eastAsia" w:ascii="仿宋_GB2312" w:hAnsi="仿宋_GB2312" w:eastAsia="仿宋_GB2312" w:cs="仿宋_GB2312"/>
                <w:color w:val="auto"/>
                <w:sz w:val="32"/>
                <w:szCs w:val="40"/>
                <w:lang w:val="en-US" w:eastAsia="zh-CN"/>
              </w:rPr>
              <w:t>评价的主要方法及等级设定</w:t>
            </w:r>
            <w:bookmarkEnd w:id="75"/>
            <w:bookmarkEnd w:id="76"/>
            <w:bookmarkEnd w:id="77"/>
            <w:bookmarkEnd w:id="78"/>
            <w:bookmarkEnd w:id="79"/>
            <w:bookmarkEnd w:id="80"/>
            <w:bookmarkEnd w:id="81"/>
            <w:bookmarkEnd w:id="82"/>
            <w:bookmarkEnd w:id="83"/>
            <w:bookmarkEnd w:id="84"/>
          </w:p>
          <w:p>
            <w:pPr>
              <w:ind w:firstLine="640" w:firstLineChars="200"/>
              <w:rPr>
                <w:rFonts w:hint="eastAsia"/>
                <w:lang w:val="en-US" w:eastAsia="zh-CN"/>
              </w:rPr>
            </w:pPr>
            <w:r>
              <w:rPr>
                <w:rFonts w:hint="eastAsia" w:ascii="仿宋_GB2312" w:eastAsia="仿宋_GB2312"/>
                <w:sz w:val="32"/>
                <w:szCs w:val="32"/>
              </w:rPr>
              <w:t>按照评价规程要求，结合平时所掌握的各项工作开展情况，我局组织专家小组从项目决策、项目管理、项目绩效三大块对项目执行情况进行了评价，在此基础上，根据市财政局对市级财政绩效考评的要求和考评内容，认真开展了绩效评价工作。等级</w:t>
            </w:r>
            <w:r>
              <w:rPr>
                <w:rFonts w:ascii="仿宋_GB2312" w:eastAsia="仿宋_GB2312"/>
                <w:sz w:val="32"/>
                <w:szCs w:val="32"/>
              </w:rPr>
              <w:t>设定为</w:t>
            </w:r>
            <w:r>
              <w:rPr>
                <w:rFonts w:hint="eastAsia" w:ascii="仿宋_GB2312" w:eastAsia="仿宋_GB2312"/>
                <w:sz w:val="32"/>
                <w:szCs w:val="32"/>
              </w:rPr>
              <w:t>总得分≥90分</w:t>
            </w:r>
            <w:r>
              <w:rPr>
                <w:rFonts w:ascii="仿宋_GB2312" w:eastAsia="仿宋_GB2312"/>
                <w:sz w:val="32"/>
                <w:szCs w:val="32"/>
              </w:rPr>
              <w:t>，优秀；</w:t>
            </w:r>
            <w:r>
              <w:rPr>
                <w:rFonts w:hint="eastAsia" w:ascii="仿宋_GB2312" w:eastAsia="仿宋_GB2312"/>
                <w:sz w:val="32"/>
                <w:szCs w:val="32"/>
              </w:rPr>
              <w:t>总得分≥</w:t>
            </w:r>
            <w:r>
              <w:rPr>
                <w:rFonts w:ascii="仿宋_GB2312" w:eastAsia="仿宋_GB2312"/>
                <w:sz w:val="32"/>
                <w:szCs w:val="32"/>
              </w:rPr>
              <w:t>8</w:t>
            </w:r>
            <w:r>
              <w:rPr>
                <w:rFonts w:hint="eastAsia" w:ascii="仿宋_GB2312" w:eastAsia="仿宋_GB2312"/>
                <w:sz w:val="32"/>
                <w:szCs w:val="32"/>
              </w:rPr>
              <w:t>0分</w:t>
            </w:r>
            <w:r>
              <w:rPr>
                <w:rFonts w:ascii="仿宋_GB2312" w:eastAsia="仿宋_GB2312"/>
                <w:sz w:val="32"/>
                <w:szCs w:val="32"/>
              </w:rPr>
              <w:t>，</w:t>
            </w:r>
            <w:r>
              <w:rPr>
                <w:rFonts w:hint="eastAsia" w:ascii="仿宋_GB2312" w:eastAsia="仿宋_GB2312"/>
                <w:sz w:val="32"/>
                <w:szCs w:val="32"/>
              </w:rPr>
              <w:t>合格</w:t>
            </w:r>
            <w:r>
              <w:rPr>
                <w:rFonts w:ascii="仿宋_GB2312" w:eastAsia="仿宋_GB2312"/>
                <w:sz w:val="32"/>
                <w:szCs w:val="32"/>
              </w:rPr>
              <w:t>；</w:t>
            </w:r>
            <w:r>
              <w:rPr>
                <w:rFonts w:hint="eastAsia" w:ascii="仿宋_GB2312" w:eastAsia="仿宋_GB2312"/>
                <w:sz w:val="32"/>
                <w:szCs w:val="32"/>
              </w:rPr>
              <w:t>总得分＜</w:t>
            </w:r>
            <w:r>
              <w:rPr>
                <w:rFonts w:ascii="仿宋_GB2312" w:eastAsia="仿宋_GB2312"/>
                <w:sz w:val="32"/>
                <w:szCs w:val="32"/>
              </w:rPr>
              <w:t>8</w:t>
            </w:r>
            <w:r>
              <w:rPr>
                <w:rFonts w:hint="eastAsia" w:ascii="仿宋_GB2312" w:eastAsia="仿宋_GB2312"/>
                <w:sz w:val="32"/>
                <w:szCs w:val="32"/>
              </w:rPr>
              <w:t>0分</w:t>
            </w:r>
            <w:r>
              <w:rPr>
                <w:rFonts w:ascii="仿宋_GB2312" w:eastAsia="仿宋_GB2312"/>
                <w:sz w:val="32"/>
                <w:szCs w:val="32"/>
              </w:rPr>
              <w:t>，</w:t>
            </w:r>
            <w:r>
              <w:rPr>
                <w:rFonts w:hint="eastAsia" w:ascii="仿宋_GB2312" w:eastAsia="仿宋_GB2312"/>
                <w:sz w:val="32"/>
                <w:szCs w:val="32"/>
              </w:rPr>
              <w:t>不</w:t>
            </w:r>
            <w:r>
              <w:rPr>
                <w:rFonts w:ascii="仿宋_GB2312" w:eastAsia="仿宋_GB2312"/>
                <w:sz w:val="32"/>
                <w:szCs w:val="32"/>
              </w:rPr>
              <w:t>合格。</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outlineLvl w:val="0"/>
              <w:rPr>
                <w:rFonts w:hint="eastAsia" w:ascii="仿宋_GB2312" w:hAnsi="仿宋_GB2312" w:eastAsia="仿宋_GB2312" w:cs="仿宋_GB2312"/>
                <w:lang w:val="en-US" w:eastAsia="zh-CN"/>
              </w:rPr>
            </w:pPr>
            <w:bookmarkStart w:id="85" w:name="_Toc10113"/>
            <w:bookmarkStart w:id="86" w:name="_Toc28621"/>
            <w:bookmarkStart w:id="87" w:name="_Toc20748"/>
            <w:bookmarkStart w:id="88" w:name="_Toc6105"/>
            <w:bookmarkStart w:id="89" w:name="_Toc18842"/>
            <w:bookmarkStart w:id="90" w:name="_Toc22222"/>
            <w:bookmarkStart w:id="91" w:name="_Toc17025"/>
            <w:bookmarkStart w:id="92" w:name="_Toc5623"/>
            <w:bookmarkStart w:id="93" w:name="_Toc30508"/>
            <w:bookmarkStart w:id="94" w:name="_Toc21014"/>
            <w:r>
              <w:rPr>
                <w:rFonts w:hint="eastAsia" w:ascii="仿宋_GB2312" w:hAnsi="仿宋_GB2312" w:eastAsia="仿宋_GB2312" w:cs="仿宋_GB2312"/>
                <w:b/>
                <w:bCs/>
                <w:color w:val="auto"/>
                <w:sz w:val="32"/>
                <w:szCs w:val="40"/>
                <w:lang w:val="en-US" w:eastAsia="zh-CN"/>
              </w:rPr>
              <w:t>四、绩效评价指标体系及得分情况</w:t>
            </w:r>
            <w:bookmarkEnd w:id="85"/>
            <w:bookmarkEnd w:id="86"/>
            <w:bookmarkEnd w:id="87"/>
            <w:bookmarkEnd w:id="88"/>
            <w:bookmarkEnd w:id="89"/>
            <w:bookmarkEnd w:id="90"/>
            <w:bookmarkEnd w:id="91"/>
            <w:bookmarkEnd w:id="92"/>
            <w:bookmarkEnd w:id="93"/>
            <w:bookmarkEnd w:id="94"/>
          </w:p>
          <w:p>
            <w:pPr>
              <w:keepNext w:val="0"/>
              <w:keepLines w:val="0"/>
              <w:widowControl/>
              <w:suppressLineNumbers w:val="0"/>
              <w:jc w:val="center"/>
              <w:textAlignment w:val="center"/>
              <w:rPr>
                <w:rFonts w:hint="eastAsia" w:ascii="仿宋_GB2312" w:hAnsi="仿宋_GB2312" w:eastAsia="仿宋_GB2312" w:cs="仿宋_GB2312"/>
                <w:b/>
                <w:i w:val="0"/>
                <w:color w:val="000000"/>
                <w:sz w:val="28"/>
                <w:szCs w:val="28"/>
                <w:u w:val="none"/>
              </w:rPr>
            </w:pPr>
            <w:r>
              <w:rPr>
                <w:rFonts w:hint="eastAsia" w:ascii="仿宋_GB2312" w:hAnsi="仿宋_GB2312" w:eastAsia="仿宋_GB2312" w:cs="仿宋_GB2312"/>
                <w:b/>
                <w:i w:val="0"/>
                <w:color w:val="000000"/>
                <w:kern w:val="0"/>
                <w:sz w:val="28"/>
                <w:szCs w:val="28"/>
                <w:u w:val="none"/>
                <w:lang w:val="en-US" w:eastAsia="zh-CN" w:bidi="ar"/>
              </w:rPr>
              <w:t>差补费项目重点绩效自评指标表</w:t>
            </w:r>
          </w:p>
        </w:tc>
      </w:tr>
      <w:tr>
        <w:tblPrEx>
          <w:tblCellMar>
            <w:top w:w="0" w:type="dxa"/>
            <w:left w:w="0" w:type="dxa"/>
            <w:bottom w:w="0" w:type="dxa"/>
            <w:right w:w="0" w:type="dxa"/>
          </w:tblCellMar>
        </w:tblPrEx>
        <w:trPr>
          <w:trHeight w:val="585" w:hRule="atLeast"/>
        </w:trPr>
        <w:tc>
          <w:tcPr>
            <w:tcW w:w="958" w:type="dxa"/>
            <w:tcBorders>
              <w:top w:val="single" w:color="000000" w:sz="4" w:space="0"/>
              <w:left w:val="single" w:color="000000" w:sz="4" w:space="0"/>
              <w:bottom w:val="single" w:color="000000" w:sz="4" w:space="0"/>
              <w:right w:val="nil"/>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 xml:space="preserve">一级指标  </w:t>
            </w:r>
          </w:p>
        </w:tc>
        <w:tc>
          <w:tcPr>
            <w:tcW w:w="6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二级指标</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 xml:space="preserve"> 三级指标</w:t>
            </w:r>
          </w:p>
        </w:tc>
        <w:tc>
          <w:tcPr>
            <w:tcW w:w="545" w:type="dxa"/>
            <w:vMerge w:val="restart"/>
            <w:tcBorders>
              <w:top w:val="single" w:color="000000" w:sz="4" w:space="0"/>
              <w:left w:val="nil"/>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分值</w:t>
            </w:r>
          </w:p>
        </w:tc>
        <w:tc>
          <w:tcPr>
            <w:tcW w:w="3557"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指标说明</w:t>
            </w:r>
          </w:p>
        </w:tc>
        <w:tc>
          <w:tcPr>
            <w:tcW w:w="513"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得分</w:t>
            </w:r>
          </w:p>
        </w:tc>
      </w:tr>
      <w:tr>
        <w:tblPrEx>
          <w:tblCellMar>
            <w:top w:w="0" w:type="dxa"/>
            <w:left w:w="0" w:type="dxa"/>
            <w:bottom w:w="0" w:type="dxa"/>
            <w:right w:w="0" w:type="dxa"/>
          </w:tblCellMar>
        </w:tblPrEx>
        <w:trPr>
          <w:trHeight w:val="345" w:hRule="atLeast"/>
        </w:trPr>
        <w:tc>
          <w:tcPr>
            <w:tcW w:w="9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名称</w:t>
            </w:r>
          </w:p>
        </w:tc>
        <w:tc>
          <w:tcPr>
            <w:tcW w:w="6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名称</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名称</w:t>
            </w:r>
          </w:p>
        </w:tc>
        <w:tc>
          <w:tcPr>
            <w:tcW w:w="545" w:type="dxa"/>
            <w:vMerge w:val="continue"/>
            <w:tcBorders>
              <w:top w:val="single" w:color="000000" w:sz="4" w:space="0"/>
              <w:left w:val="nil"/>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b/>
                <w:i w:val="0"/>
                <w:color w:val="000000"/>
                <w:sz w:val="24"/>
                <w:szCs w:val="24"/>
                <w:u w:val="none"/>
              </w:rPr>
            </w:pPr>
          </w:p>
        </w:tc>
        <w:tc>
          <w:tcPr>
            <w:tcW w:w="3557"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b/>
                <w:i w:val="0"/>
                <w:color w:val="000000"/>
                <w:sz w:val="24"/>
                <w:szCs w:val="24"/>
                <w:u w:val="none"/>
              </w:rPr>
            </w:pPr>
          </w:p>
        </w:tc>
        <w:tc>
          <w:tcPr>
            <w:tcW w:w="513"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b/>
                <w:i w:val="0"/>
                <w:color w:val="000000"/>
                <w:sz w:val="24"/>
                <w:szCs w:val="24"/>
                <w:u w:val="none"/>
              </w:rPr>
            </w:pPr>
          </w:p>
        </w:tc>
      </w:tr>
      <w:tr>
        <w:tblPrEx>
          <w:tblCellMar>
            <w:top w:w="0" w:type="dxa"/>
            <w:left w:w="0" w:type="dxa"/>
            <w:bottom w:w="0" w:type="dxa"/>
            <w:right w:w="0" w:type="dxa"/>
          </w:tblCellMar>
        </w:tblPrEx>
        <w:trPr>
          <w:trHeight w:val="660" w:hRule="atLeast"/>
        </w:trPr>
        <w:tc>
          <w:tcPr>
            <w:tcW w:w="958"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“工作活动”设置（10分）</w:t>
            </w:r>
          </w:p>
        </w:tc>
        <w:tc>
          <w:tcPr>
            <w:tcW w:w="67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项目立项情况</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是否符合市政府经济和社会总体发展规划</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有市政府相关政策、规划、任务等文件得*分；无不得分。</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w:t>
            </w:r>
          </w:p>
        </w:tc>
      </w:tr>
      <w:tr>
        <w:tblPrEx>
          <w:tblCellMar>
            <w:top w:w="0" w:type="dxa"/>
            <w:left w:w="0" w:type="dxa"/>
            <w:bottom w:w="0" w:type="dxa"/>
            <w:right w:w="0" w:type="dxa"/>
          </w:tblCellMar>
        </w:tblPrEx>
        <w:trPr>
          <w:trHeight w:val="1164" w:hRule="atLeast"/>
        </w:trPr>
        <w:tc>
          <w:tcPr>
            <w:tcW w:w="958"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项目活动与职责相关性</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工作活动与部门职责、工作规划和重点工作相关，工作活动项下确定的预算项目合理，与工作活动密切相关，工作活动和项目预算安排合理，得*分；否则不得分。</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kern w:val="0"/>
                <w:sz w:val="22"/>
                <w:szCs w:val="22"/>
                <w:u w:val="none"/>
                <w:lang w:val="en-US" w:eastAsia="zh-CN" w:bidi="ar"/>
              </w:rPr>
              <w:t>2</w:t>
            </w:r>
          </w:p>
        </w:tc>
      </w:tr>
      <w:tr>
        <w:tblPrEx>
          <w:tblCellMar>
            <w:top w:w="0" w:type="dxa"/>
            <w:left w:w="0" w:type="dxa"/>
            <w:bottom w:w="0" w:type="dxa"/>
            <w:right w:w="0" w:type="dxa"/>
          </w:tblCellMar>
        </w:tblPrEx>
        <w:trPr>
          <w:trHeight w:val="564" w:hRule="atLeast"/>
        </w:trPr>
        <w:tc>
          <w:tcPr>
            <w:tcW w:w="958"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绩效自评情况</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项目设立绩效目标合理性</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①是否将项目绩效目标细化分解为具体的绩效指标；</w:t>
            </w:r>
            <w:r>
              <w:rPr>
                <w:rFonts w:hint="eastAsia" w:ascii="仿宋_GB2312" w:hAnsi="仿宋_GB2312" w:eastAsia="仿宋_GB2312" w:cs="仿宋_GB2312"/>
                <w:i w:val="0"/>
                <w:color w:val="000000"/>
                <w:kern w:val="0"/>
                <w:sz w:val="22"/>
                <w:szCs w:val="22"/>
                <w:u w:val="none"/>
                <w:lang w:val="en-US" w:eastAsia="zh-CN" w:bidi="ar"/>
              </w:rPr>
              <w:br w:type="textWrapping"/>
            </w:r>
            <w:r>
              <w:rPr>
                <w:rFonts w:hint="eastAsia" w:ascii="仿宋_GB2312" w:hAnsi="仿宋_GB2312" w:eastAsia="仿宋_GB2312" w:cs="仿宋_GB2312"/>
                <w:i w:val="0"/>
                <w:color w:val="000000"/>
                <w:kern w:val="0"/>
                <w:sz w:val="22"/>
                <w:szCs w:val="22"/>
                <w:u w:val="none"/>
                <w:lang w:val="en-US" w:eastAsia="zh-CN" w:bidi="ar"/>
              </w:rPr>
              <w:t>②是否通过清晰、可衡量的指标值予以体现；</w:t>
            </w:r>
            <w:r>
              <w:rPr>
                <w:rFonts w:hint="eastAsia" w:ascii="仿宋_GB2312" w:hAnsi="仿宋_GB2312" w:eastAsia="仿宋_GB2312" w:cs="仿宋_GB2312"/>
                <w:i w:val="0"/>
                <w:color w:val="000000"/>
                <w:kern w:val="0"/>
                <w:sz w:val="22"/>
                <w:szCs w:val="22"/>
                <w:u w:val="none"/>
                <w:lang w:val="en-US" w:eastAsia="zh-CN" w:bidi="ar"/>
              </w:rPr>
              <w:br w:type="textWrapping"/>
            </w:r>
            <w:r>
              <w:rPr>
                <w:rFonts w:hint="eastAsia" w:ascii="仿宋_GB2312" w:hAnsi="仿宋_GB2312" w:eastAsia="仿宋_GB2312" w:cs="仿宋_GB2312"/>
                <w:i w:val="0"/>
                <w:color w:val="000000"/>
                <w:kern w:val="0"/>
                <w:sz w:val="22"/>
                <w:szCs w:val="22"/>
                <w:u w:val="none"/>
                <w:lang w:val="en-US" w:eastAsia="zh-CN" w:bidi="ar"/>
              </w:rPr>
              <w:t>③是否与项目年度任务数或计划数相对应；</w:t>
            </w:r>
            <w:r>
              <w:rPr>
                <w:rFonts w:hint="eastAsia" w:ascii="仿宋_GB2312" w:hAnsi="仿宋_GB2312" w:eastAsia="仿宋_GB2312" w:cs="仿宋_GB2312"/>
                <w:i w:val="0"/>
                <w:color w:val="000000"/>
                <w:kern w:val="0"/>
                <w:sz w:val="22"/>
                <w:szCs w:val="22"/>
                <w:u w:val="none"/>
                <w:lang w:val="en-US" w:eastAsia="zh-CN" w:bidi="ar"/>
              </w:rPr>
              <w:br w:type="textWrapping"/>
            </w:r>
            <w:r>
              <w:rPr>
                <w:rFonts w:hint="eastAsia" w:ascii="仿宋_GB2312" w:hAnsi="仿宋_GB2312" w:eastAsia="仿宋_GB2312" w:cs="仿宋_GB2312"/>
                <w:i w:val="0"/>
                <w:color w:val="000000"/>
                <w:kern w:val="0"/>
                <w:sz w:val="22"/>
                <w:szCs w:val="22"/>
                <w:u w:val="none"/>
                <w:lang w:val="en-US" w:eastAsia="zh-CN" w:bidi="ar"/>
              </w:rPr>
              <w:t>④是否与预算确定的项目投资额或资金量相匹配。</w:t>
            </w:r>
            <w:r>
              <w:rPr>
                <w:rFonts w:hint="eastAsia" w:ascii="仿宋_GB2312" w:hAnsi="仿宋_GB2312" w:eastAsia="仿宋_GB2312" w:cs="仿宋_GB2312"/>
                <w:i w:val="0"/>
                <w:color w:val="000000"/>
                <w:kern w:val="0"/>
                <w:sz w:val="22"/>
                <w:szCs w:val="22"/>
                <w:u w:val="none"/>
                <w:lang w:val="en-US" w:eastAsia="zh-CN" w:bidi="ar"/>
              </w:rPr>
              <w:br w:type="textWrapping"/>
            </w:r>
            <w:r>
              <w:rPr>
                <w:rFonts w:hint="eastAsia" w:ascii="仿宋_GB2312" w:hAnsi="仿宋_GB2312" w:eastAsia="仿宋_GB2312" w:cs="仿宋_GB2312"/>
                <w:i w:val="0"/>
                <w:color w:val="000000"/>
                <w:kern w:val="0"/>
                <w:sz w:val="22"/>
                <w:szCs w:val="22"/>
                <w:u w:val="none"/>
                <w:lang w:val="en-US" w:eastAsia="zh-CN" w:bidi="ar"/>
              </w:rPr>
              <w:t>缺少一项扣*分,扣完为止。</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w:t>
            </w:r>
          </w:p>
        </w:tc>
      </w:tr>
      <w:tr>
        <w:tblPrEx>
          <w:tblCellMar>
            <w:top w:w="0" w:type="dxa"/>
            <w:left w:w="0" w:type="dxa"/>
            <w:bottom w:w="0" w:type="dxa"/>
            <w:right w:w="0" w:type="dxa"/>
          </w:tblCellMar>
        </w:tblPrEx>
        <w:trPr>
          <w:trHeight w:val="1460" w:hRule="atLeast"/>
        </w:trPr>
        <w:tc>
          <w:tcPr>
            <w:tcW w:w="958"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自评报告情况</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4</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是否有绩效评价报告，报告是否依据充分、内容真实完整；数据准确、分析透彻。每存在一项问题扣*分，扣完为止。</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4 </w:t>
            </w:r>
          </w:p>
        </w:tc>
      </w:tr>
      <w:tr>
        <w:tblPrEx>
          <w:tblCellMar>
            <w:top w:w="0" w:type="dxa"/>
            <w:left w:w="0" w:type="dxa"/>
            <w:bottom w:w="0" w:type="dxa"/>
            <w:right w:w="0" w:type="dxa"/>
          </w:tblCellMar>
        </w:tblPrEx>
        <w:trPr>
          <w:trHeight w:val="1020" w:hRule="atLeast"/>
        </w:trPr>
        <w:tc>
          <w:tcPr>
            <w:tcW w:w="958"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“工作活动”管理（10分）</w:t>
            </w:r>
          </w:p>
        </w:tc>
        <w:tc>
          <w:tcPr>
            <w:tcW w:w="67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资金管理</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预算调整率</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预算调整率=（预算调整数/预算数）×100%。预算调整率每大于1%扣*分，扣完为止。</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r>
      <w:tr>
        <w:tblPrEx>
          <w:tblCellMar>
            <w:top w:w="0" w:type="dxa"/>
            <w:left w:w="0" w:type="dxa"/>
            <w:bottom w:w="0" w:type="dxa"/>
            <w:right w:w="0" w:type="dxa"/>
          </w:tblCellMar>
        </w:tblPrEx>
        <w:trPr>
          <w:trHeight w:val="1020" w:hRule="atLeast"/>
        </w:trPr>
        <w:tc>
          <w:tcPr>
            <w:tcW w:w="958" w:type="dxa"/>
            <w:vMerge w:val="continue"/>
            <w:tcBorders>
              <w:top w:val="single" w:color="000000" w:sz="4" w:space="0"/>
              <w:left w:val="single" w:color="000000" w:sz="4" w:space="0"/>
              <w:bottom w:val="nil"/>
              <w:right w:val="single" w:color="000000" w:sz="4" w:space="0"/>
            </w:tcBorders>
            <w:shd w:val="clear" w:color="auto" w:fill="auto"/>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2083"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资金使用合规性</w:t>
            </w:r>
          </w:p>
        </w:tc>
        <w:tc>
          <w:tcPr>
            <w:tcW w:w="545" w:type="dxa"/>
            <w:tcBorders>
              <w:top w:val="single" w:color="000000" w:sz="4" w:space="0"/>
              <w:left w:val="single" w:color="000000" w:sz="4" w:space="0"/>
              <w:bottom w:val="single" w:color="000000" w:sz="4" w:space="0"/>
              <w:right w:val="single" w:color="000000" w:sz="4" w:space="0"/>
            </w:tcBorders>
            <w:shd w:val="clear" w:color="auto" w:fill="auto"/>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shd w:val="clear" w:color="auto" w:fill="FFFFFF"/>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项目资金使用是否符合国家财经法规及相关的财务管理制度规定，资金支出程序是否规范,报账手续是否齐全。每存在一项不合规问题扣*分，扣完为止。</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r>
      <w:tr>
        <w:tblPrEx>
          <w:tblCellMar>
            <w:top w:w="0" w:type="dxa"/>
            <w:left w:w="0" w:type="dxa"/>
            <w:bottom w:w="0" w:type="dxa"/>
            <w:right w:w="0" w:type="dxa"/>
          </w:tblCellMar>
        </w:tblPrEx>
        <w:trPr>
          <w:trHeight w:val="1220" w:hRule="atLeast"/>
        </w:trPr>
        <w:tc>
          <w:tcPr>
            <w:tcW w:w="958" w:type="dxa"/>
            <w:vMerge w:val="continue"/>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会计核算规范性</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会计核算是否符合《会计法》、《政府会计制度》、《会计基础工作规范》等法律法规和相关制度规定。每存在一项不合规问题扣*分，扣完为止。</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2 </w:t>
            </w:r>
          </w:p>
        </w:tc>
      </w:tr>
      <w:tr>
        <w:tblPrEx>
          <w:tblCellMar>
            <w:top w:w="0" w:type="dxa"/>
            <w:left w:w="0" w:type="dxa"/>
            <w:bottom w:w="0" w:type="dxa"/>
            <w:right w:w="0" w:type="dxa"/>
          </w:tblCellMar>
        </w:tblPrEx>
        <w:trPr>
          <w:trHeight w:val="1740" w:hRule="atLeast"/>
        </w:trPr>
        <w:tc>
          <w:tcPr>
            <w:tcW w:w="958" w:type="dxa"/>
            <w:vMerge w:val="continue"/>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项目管理</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项目责任机制是否健全</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是否建立责任机制，项目管理和责任落实到有关人。每存在一项问题扣*分，扣完为止。</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2 </w:t>
            </w:r>
          </w:p>
        </w:tc>
      </w:tr>
      <w:tr>
        <w:tblPrEx>
          <w:tblCellMar>
            <w:top w:w="0" w:type="dxa"/>
            <w:left w:w="0" w:type="dxa"/>
            <w:bottom w:w="0" w:type="dxa"/>
            <w:right w:w="0" w:type="dxa"/>
          </w:tblCellMar>
        </w:tblPrEx>
        <w:trPr>
          <w:trHeight w:val="756" w:hRule="atLeast"/>
        </w:trPr>
        <w:tc>
          <w:tcPr>
            <w:tcW w:w="958" w:type="dxa"/>
            <w:vMerge w:val="continue"/>
            <w:tcBorders>
              <w:top w:val="single" w:color="000000" w:sz="4" w:space="0"/>
              <w:left w:val="single" w:color="000000" w:sz="4" w:space="0"/>
              <w:bottom w:val="nil"/>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管理制度健全性</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2</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制定管理制度和措施（包括财务制度）是否明确、清晰、具有可操作性，能否保障工作活动顺利实施。每缺少一项制度扣*分，扣完为止。</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2 </w:t>
            </w:r>
          </w:p>
        </w:tc>
      </w:tr>
      <w:tr>
        <w:tblPrEx>
          <w:tblCellMar>
            <w:top w:w="0" w:type="dxa"/>
            <w:left w:w="0" w:type="dxa"/>
            <w:bottom w:w="0" w:type="dxa"/>
            <w:right w:w="0" w:type="dxa"/>
          </w:tblCellMar>
        </w:tblPrEx>
        <w:trPr>
          <w:trHeight w:val="90" w:hRule="atLeast"/>
        </w:trPr>
        <w:tc>
          <w:tcPr>
            <w:tcW w:w="958"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“工作活动”产出（60分）</w:t>
            </w:r>
          </w:p>
        </w:tc>
        <w:tc>
          <w:tcPr>
            <w:tcW w:w="67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数量指标</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kern w:val="0"/>
                <w:sz w:val="22"/>
                <w:szCs w:val="22"/>
                <w:u w:val="none"/>
                <w:lang w:val="en-US" w:eastAsia="zh-CN" w:bidi="ar"/>
              </w:rPr>
              <w:t>指标1</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10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工资发放人次</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2"/>
                <w:szCs w:val="22"/>
                <w:u w:val="none"/>
                <w:lang w:val="en-US" w:eastAsia="zh-CN" w:bidi="ar-SA"/>
              </w:rPr>
            </w:pPr>
            <w:r>
              <w:rPr>
                <w:rFonts w:hint="eastAsia" w:ascii="仿宋_GB2312" w:hAnsi="仿宋_GB2312" w:eastAsia="仿宋_GB2312" w:cs="仿宋_GB2312"/>
                <w:i w:val="0"/>
                <w:color w:val="000000"/>
                <w:sz w:val="22"/>
                <w:szCs w:val="22"/>
                <w:u w:val="none"/>
                <w:lang w:val="en-US" w:eastAsia="zh-CN"/>
              </w:rPr>
              <w:t>10</w:t>
            </w:r>
          </w:p>
        </w:tc>
      </w:tr>
      <w:tr>
        <w:tblPrEx>
          <w:tblCellMar>
            <w:top w:w="0" w:type="dxa"/>
            <w:left w:w="0" w:type="dxa"/>
            <w:bottom w:w="0" w:type="dxa"/>
            <w:right w:w="0" w:type="dxa"/>
          </w:tblCellMar>
        </w:tblPrEx>
        <w:trPr>
          <w:trHeight w:val="568" w:hRule="atLeast"/>
        </w:trPr>
        <w:tc>
          <w:tcPr>
            <w:tcW w:w="958" w:type="dxa"/>
            <w:vMerge w:val="continue"/>
            <w:tcBorders>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kern w:val="0"/>
                <w:sz w:val="22"/>
                <w:szCs w:val="22"/>
                <w:u w:val="none"/>
                <w:lang w:val="en-US" w:eastAsia="zh-CN" w:bidi="ar"/>
              </w:rPr>
              <w:t>指标2</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10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发放次数</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2"/>
                <w:szCs w:val="22"/>
                <w:u w:val="none"/>
                <w:lang w:val="en-US" w:eastAsia="zh-CN" w:bidi="ar-SA"/>
              </w:rPr>
            </w:pPr>
            <w:r>
              <w:rPr>
                <w:rFonts w:hint="eastAsia" w:ascii="仿宋_GB2312" w:hAnsi="仿宋_GB2312" w:eastAsia="仿宋_GB2312" w:cs="仿宋_GB2312"/>
                <w:i w:val="0"/>
                <w:color w:val="000000"/>
                <w:sz w:val="22"/>
                <w:szCs w:val="22"/>
                <w:u w:val="none"/>
                <w:lang w:val="en-US" w:eastAsia="zh-CN"/>
              </w:rPr>
              <w:t>10</w:t>
            </w:r>
          </w:p>
        </w:tc>
      </w:tr>
      <w:tr>
        <w:tblPrEx>
          <w:tblCellMar>
            <w:top w:w="0" w:type="dxa"/>
            <w:left w:w="0" w:type="dxa"/>
            <w:bottom w:w="0" w:type="dxa"/>
            <w:right w:w="0" w:type="dxa"/>
          </w:tblCellMar>
        </w:tblPrEx>
        <w:trPr>
          <w:trHeight w:val="642" w:hRule="atLeast"/>
        </w:trPr>
        <w:tc>
          <w:tcPr>
            <w:tcW w:w="958" w:type="dxa"/>
            <w:vMerge w:val="continue"/>
            <w:tcBorders>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restart"/>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质量指标</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指标1</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10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仿宋_GB2312" w:hAnsi="仿宋_GB2312" w:eastAsia="仿宋_GB2312" w:cs="仿宋_GB2312"/>
                <w:i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差补发放完成率</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2"/>
                <w:szCs w:val="22"/>
                <w:u w:val="none"/>
                <w:lang w:val="en-US" w:eastAsia="zh-CN" w:bidi="ar-SA"/>
              </w:rPr>
            </w:pPr>
            <w:r>
              <w:rPr>
                <w:rFonts w:hint="eastAsia" w:ascii="仿宋_GB2312" w:hAnsi="仿宋_GB2312" w:eastAsia="仿宋_GB2312" w:cs="仿宋_GB2312"/>
                <w:i w:val="0"/>
                <w:color w:val="000000"/>
                <w:sz w:val="22"/>
                <w:szCs w:val="22"/>
                <w:u w:val="none"/>
                <w:lang w:val="en-US" w:eastAsia="zh-CN"/>
              </w:rPr>
              <w:t>10</w:t>
            </w:r>
          </w:p>
        </w:tc>
      </w:tr>
      <w:tr>
        <w:tblPrEx>
          <w:tblCellMar>
            <w:top w:w="0" w:type="dxa"/>
            <w:left w:w="0" w:type="dxa"/>
            <w:bottom w:w="0" w:type="dxa"/>
            <w:right w:w="0" w:type="dxa"/>
          </w:tblCellMar>
        </w:tblPrEx>
        <w:trPr>
          <w:trHeight w:val="488" w:hRule="atLeast"/>
        </w:trPr>
        <w:tc>
          <w:tcPr>
            <w:tcW w:w="958" w:type="dxa"/>
            <w:vMerge w:val="continue"/>
            <w:tcBorders>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指标2</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10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仿宋_GB2312" w:hAnsi="仿宋_GB2312" w:eastAsia="仿宋_GB2312" w:cs="仿宋_GB2312"/>
                <w:i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发放职工津补贴的覆盖率</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2"/>
                <w:szCs w:val="22"/>
                <w:u w:val="none"/>
                <w:lang w:val="en-US" w:eastAsia="zh-CN" w:bidi="ar-SA"/>
              </w:rPr>
            </w:pPr>
            <w:r>
              <w:rPr>
                <w:rFonts w:hint="eastAsia" w:ascii="仿宋_GB2312" w:hAnsi="仿宋_GB2312" w:eastAsia="仿宋_GB2312" w:cs="仿宋_GB2312"/>
                <w:i w:val="0"/>
                <w:color w:val="000000"/>
                <w:sz w:val="22"/>
                <w:szCs w:val="22"/>
                <w:u w:val="none"/>
                <w:lang w:val="en-US" w:eastAsia="zh-CN"/>
              </w:rPr>
              <w:t>10</w:t>
            </w:r>
          </w:p>
        </w:tc>
      </w:tr>
      <w:tr>
        <w:tblPrEx>
          <w:tblCellMar>
            <w:top w:w="0" w:type="dxa"/>
            <w:left w:w="0" w:type="dxa"/>
            <w:bottom w:w="0" w:type="dxa"/>
            <w:right w:w="0" w:type="dxa"/>
          </w:tblCellMar>
        </w:tblPrEx>
        <w:trPr>
          <w:trHeight w:val="586" w:hRule="atLeast"/>
        </w:trPr>
        <w:tc>
          <w:tcPr>
            <w:tcW w:w="958" w:type="dxa"/>
            <w:vMerge w:val="continue"/>
            <w:tcBorders>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时效指标</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指标1</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10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仿宋_GB2312" w:hAnsi="仿宋_GB2312" w:eastAsia="仿宋_GB2312" w:cs="仿宋_GB2312"/>
                <w:i w:val="0"/>
                <w:color w:val="000000"/>
                <w:sz w:val="22"/>
                <w:szCs w:val="22"/>
                <w:u w:val="none"/>
              </w:rPr>
            </w:pPr>
            <w:r>
              <w:rPr>
                <w:rFonts w:hint="default" w:ascii="Calibri" w:hAnsi="Calibri" w:eastAsia="宋体" w:cs="Calibri"/>
                <w:i w:val="0"/>
                <w:iCs w:val="0"/>
                <w:color w:val="000000"/>
                <w:kern w:val="0"/>
                <w:sz w:val="22"/>
                <w:szCs w:val="22"/>
                <w:u w:val="none"/>
                <w:lang w:val="en-US" w:eastAsia="zh-CN" w:bidi="ar"/>
              </w:rPr>
              <w:t>发放职工津补贴的及时率</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2"/>
                <w:szCs w:val="22"/>
                <w:u w:val="none"/>
                <w:lang w:val="en-US" w:eastAsia="zh-CN" w:bidi="ar-SA"/>
              </w:rPr>
            </w:pPr>
            <w:r>
              <w:rPr>
                <w:rFonts w:hint="eastAsia" w:ascii="仿宋_GB2312" w:hAnsi="仿宋_GB2312" w:eastAsia="仿宋_GB2312" w:cs="仿宋_GB2312"/>
                <w:i w:val="0"/>
                <w:color w:val="000000"/>
                <w:sz w:val="22"/>
                <w:szCs w:val="22"/>
                <w:u w:val="none"/>
                <w:lang w:val="en-US" w:eastAsia="zh-CN"/>
              </w:rPr>
              <w:t>10</w:t>
            </w:r>
          </w:p>
        </w:tc>
      </w:tr>
      <w:tr>
        <w:tblPrEx>
          <w:tblCellMar>
            <w:top w:w="0" w:type="dxa"/>
            <w:left w:w="0" w:type="dxa"/>
            <w:bottom w:w="0" w:type="dxa"/>
            <w:right w:w="0" w:type="dxa"/>
          </w:tblCellMar>
        </w:tblPrEx>
        <w:trPr>
          <w:trHeight w:val="470" w:hRule="atLeast"/>
        </w:trPr>
        <w:tc>
          <w:tcPr>
            <w:tcW w:w="958"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成本指标</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指标1</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10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仿宋_GB2312" w:hAnsi="仿宋_GB2312" w:eastAsia="仿宋_GB2312" w:cs="仿宋_GB2312"/>
              </w:rPr>
            </w:pPr>
            <w:r>
              <w:rPr>
                <w:rFonts w:hint="default" w:ascii="Calibri" w:hAnsi="Calibri" w:eastAsia="宋体" w:cs="Calibri"/>
                <w:i w:val="0"/>
                <w:iCs w:val="0"/>
                <w:color w:val="000000"/>
                <w:kern w:val="0"/>
                <w:sz w:val="22"/>
                <w:szCs w:val="22"/>
                <w:u w:val="none"/>
                <w:lang w:val="en-US" w:eastAsia="zh-CN" w:bidi="ar"/>
              </w:rPr>
              <w:t>发放职工津补贴成本</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2"/>
                <w:szCs w:val="22"/>
                <w:u w:val="none"/>
                <w:lang w:val="en-US" w:eastAsia="zh-CN" w:bidi="ar-SA"/>
              </w:rPr>
            </w:pPr>
            <w:r>
              <w:rPr>
                <w:rFonts w:hint="eastAsia" w:ascii="仿宋_GB2312" w:hAnsi="仿宋_GB2312" w:eastAsia="仿宋_GB2312" w:cs="仿宋_GB2312"/>
                <w:i w:val="0"/>
                <w:color w:val="000000"/>
                <w:sz w:val="22"/>
                <w:szCs w:val="22"/>
                <w:u w:val="none"/>
                <w:lang w:val="en-US" w:eastAsia="zh-CN"/>
              </w:rPr>
              <w:t>10</w:t>
            </w:r>
          </w:p>
        </w:tc>
      </w:tr>
      <w:tr>
        <w:tblPrEx>
          <w:tblCellMar>
            <w:top w:w="0" w:type="dxa"/>
            <w:left w:w="0" w:type="dxa"/>
            <w:bottom w:w="0" w:type="dxa"/>
            <w:right w:w="0" w:type="dxa"/>
          </w:tblCellMar>
        </w:tblPrEx>
        <w:trPr>
          <w:trHeight w:val="405" w:hRule="atLeast"/>
        </w:trPr>
        <w:tc>
          <w:tcPr>
            <w:tcW w:w="958"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z w:val="22"/>
                <w:szCs w:val="22"/>
                <w:u w:val="none"/>
              </w:rPr>
              <w:t>“工作活动”效果（</w:t>
            </w:r>
            <w:r>
              <w:rPr>
                <w:rFonts w:hint="eastAsia" w:ascii="仿宋_GB2312" w:hAnsi="仿宋_GB2312" w:eastAsia="仿宋_GB2312" w:cs="仿宋_GB2312"/>
                <w:i w:val="0"/>
                <w:color w:val="000000"/>
                <w:kern w:val="0"/>
                <w:sz w:val="22"/>
                <w:szCs w:val="22"/>
                <w:u w:val="none"/>
                <w:lang w:val="en-US" w:eastAsia="zh-CN" w:bidi="ar"/>
              </w:rPr>
              <w:t>20</w:t>
            </w:r>
            <w:r>
              <w:rPr>
                <w:rFonts w:hint="eastAsia" w:ascii="仿宋_GB2312" w:hAnsi="仿宋_GB2312" w:eastAsia="仿宋_GB2312" w:cs="仿宋_GB2312"/>
                <w:i w:val="0"/>
                <w:color w:val="000000"/>
                <w:sz w:val="22"/>
                <w:szCs w:val="22"/>
                <w:u w:val="none"/>
              </w:rPr>
              <w:t>分）</w:t>
            </w:r>
          </w:p>
        </w:tc>
        <w:tc>
          <w:tcPr>
            <w:tcW w:w="674" w:type="dxa"/>
            <w:vMerge w:val="restart"/>
            <w:tcBorders>
              <w:top w:val="single" w:color="000000" w:sz="4" w:space="0"/>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满意度</w:t>
            </w: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指标1</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5</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仿宋_GB2312" w:hAnsi="仿宋_GB2312" w:eastAsia="仿宋_GB2312" w:cs="仿宋_GB2312"/>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单位年终考核成绩优良率</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2</w:t>
            </w:r>
          </w:p>
        </w:tc>
      </w:tr>
      <w:tr>
        <w:tblPrEx>
          <w:tblCellMar>
            <w:top w:w="0" w:type="dxa"/>
            <w:left w:w="0" w:type="dxa"/>
            <w:bottom w:w="0" w:type="dxa"/>
            <w:right w:w="0" w:type="dxa"/>
          </w:tblCellMar>
        </w:tblPrEx>
        <w:trPr>
          <w:trHeight w:val="405" w:hRule="atLeast"/>
        </w:trPr>
        <w:tc>
          <w:tcPr>
            <w:tcW w:w="958" w:type="dxa"/>
            <w:vMerge w:val="continue"/>
            <w:tcBorders>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left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指标2</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5</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仿宋_GB2312" w:hAnsi="仿宋_GB2312" w:eastAsia="仿宋_GB2312" w:cs="仿宋_GB2312"/>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单位重点工作完成率</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5</w:t>
            </w:r>
          </w:p>
        </w:tc>
      </w:tr>
      <w:tr>
        <w:tblPrEx>
          <w:tblCellMar>
            <w:top w:w="0" w:type="dxa"/>
            <w:left w:w="0" w:type="dxa"/>
            <w:bottom w:w="0" w:type="dxa"/>
            <w:right w:w="0" w:type="dxa"/>
          </w:tblCellMar>
        </w:tblPrEx>
        <w:trPr>
          <w:trHeight w:val="405" w:hRule="atLeast"/>
        </w:trPr>
        <w:tc>
          <w:tcPr>
            <w:tcW w:w="958"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i w:val="0"/>
                <w:color w:val="000000"/>
                <w:sz w:val="22"/>
                <w:szCs w:val="22"/>
                <w:u w:val="none"/>
              </w:rPr>
            </w:pPr>
          </w:p>
        </w:tc>
        <w:tc>
          <w:tcPr>
            <w:tcW w:w="674" w:type="dxa"/>
            <w:vMerge w:val="continue"/>
            <w:tcBorders>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指标3</w:t>
            </w: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10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top"/>
          </w:tcPr>
          <w:p>
            <w:pPr>
              <w:keepNext w:val="0"/>
              <w:keepLines w:val="0"/>
              <w:widowControl/>
              <w:suppressLineNumbers w:val="0"/>
              <w:jc w:val="center"/>
              <w:textAlignment w:val="top"/>
              <w:rPr>
                <w:rFonts w:hint="eastAsia" w:ascii="仿宋_GB2312" w:hAnsi="仿宋_GB2312" w:eastAsia="仿宋_GB2312" w:cs="仿宋_GB2312"/>
                <w:i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职工满意程度</w:t>
            </w: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405" w:hRule="atLeast"/>
        </w:trPr>
        <w:tc>
          <w:tcPr>
            <w:tcW w:w="95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ind w:firstLine="220" w:firstLineChars="100"/>
              <w:jc w:val="both"/>
              <w:rPr>
                <w:rFonts w:hint="eastAsia" w:ascii="仿宋_GB2312" w:hAnsi="仿宋_GB2312" w:eastAsia="仿宋_GB2312" w:cs="仿宋_GB2312"/>
                <w:i w:val="0"/>
                <w:color w:val="000000"/>
                <w:sz w:val="22"/>
                <w:szCs w:val="22"/>
                <w:u w:val="none"/>
                <w:lang w:val="en-US" w:eastAsia="zh-CN"/>
              </w:rPr>
            </w:pPr>
            <w:r>
              <w:rPr>
                <w:rFonts w:hint="eastAsia" w:ascii="仿宋_GB2312" w:hAnsi="仿宋_GB2312" w:eastAsia="仿宋_GB2312" w:cs="仿宋_GB2312"/>
                <w:i w:val="0"/>
                <w:color w:val="000000"/>
                <w:sz w:val="22"/>
                <w:szCs w:val="22"/>
                <w:u w:val="none"/>
                <w:lang w:val="en-US" w:eastAsia="zh-CN"/>
              </w:rPr>
              <w:t>合计</w:t>
            </w:r>
          </w:p>
        </w:tc>
        <w:tc>
          <w:tcPr>
            <w:tcW w:w="67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jc w:val="center"/>
              <w:rPr>
                <w:rFonts w:hint="eastAsia" w:ascii="仿宋_GB2312" w:hAnsi="仿宋_GB2312" w:eastAsia="仿宋_GB2312" w:cs="仿宋_GB2312"/>
              </w:rPr>
            </w:pPr>
          </w:p>
        </w:tc>
        <w:tc>
          <w:tcPr>
            <w:tcW w:w="208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p>
        </w:tc>
        <w:tc>
          <w:tcPr>
            <w:tcW w:w="545"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100</w:t>
            </w:r>
          </w:p>
        </w:tc>
        <w:tc>
          <w:tcPr>
            <w:tcW w:w="35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2"/>
                <w:szCs w:val="22"/>
                <w:u w:val="none"/>
                <w:lang w:val="en-US" w:eastAsia="zh-CN" w:bidi="ar"/>
              </w:rPr>
            </w:pPr>
          </w:p>
        </w:tc>
        <w:tc>
          <w:tcPr>
            <w:tcW w:w="513"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2"/>
                <w:szCs w:val="22"/>
                <w:u w:val="none"/>
                <w:lang w:val="en-US" w:eastAsia="zh-CN" w:bidi="ar"/>
              </w:rPr>
            </w:pP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center"/>
        <w:outlineLvl w:val="0"/>
        <w:rPr>
          <w:rFonts w:hint="eastAsia" w:ascii="仿宋_GB2312" w:hAnsi="仿宋_GB2312" w:eastAsia="仿宋_GB2312" w:cs="仿宋_GB2312"/>
          <w:b w:val="0"/>
          <w:bCs w:val="0"/>
          <w:color w:val="000000"/>
          <w:sz w:val="32"/>
          <w:szCs w:val="32"/>
          <w:lang w:val="en-US" w:eastAsia="zh-CN"/>
        </w:rPr>
      </w:pPr>
      <w:bookmarkStart w:id="95" w:name="_Toc2634_WPSOffice_Level1"/>
      <w:r>
        <w:rPr>
          <w:rFonts w:hint="eastAsia" w:ascii="仿宋_GB2312" w:hAnsi="仿宋_GB2312" w:eastAsia="仿宋_GB2312" w:cs="仿宋_GB2312"/>
          <w:b w:val="0"/>
          <w:bCs w:val="0"/>
          <w:color w:val="000000"/>
          <w:sz w:val="32"/>
          <w:szCs w:val="32"/>
          <w:lang w:val="en-US" w:eastAsia="zh-CN"/>
        </w:rPr>
        <w:t>五、评价分析</w:t>
      </w:r>
      <w:bookmarkEnd w:id="95"/>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color w:val="000000"/>
          <w:sz w:val="32"/>
          <w:szCs w:val="40"/>
          <w:lang w:val="en-US" w:eastAsia="zh-CN"/>
        </w:rPr>
      </w:pPr>
      <w:bookmarkStart w:id="96" w:name="_Toc18513_WPSOffice_Level2"/>
      <w:r>
        <w:rPr>
          <w:rFonts w:hint="eastAsia" w:ascii="仿宋_GB2312" w:hAnsi="仿宋_GB2312" w:eastAsia="仿宋_GB2312" w:cs="仿宋_GB2312"/>
          <w:color w:val="000000"/>
          <w:sz w:val="32"/>
          <w:szCs w:val="40"/>
          <w:lang w:val="en-US" w:eastAsia="zh-CN"/>
        </w:rPr>
        <w:t>（一）主要扣分事项及原因分析</w:t>
      </w:r>
      <w:bookmarkEnd w:id="96"/>
    </w:p>
    <w:p>
      <w:pPr>
        <w:pStyle w:val="2"/>
        <w:rPr>
          <w:rFonts w:hint="eastAsia" w:ascii="仿宋_GB2312" w:hAnsi="仿宋_GB2312" w:eastAsia="仿宋_GB2312" w:cs="仿宋_GB2312"/>
          <w:color w:val="000000"/>
          <w:kern w:val="2"/>
          <w:sz w:val="32"/>
          <w:szCs w:val="40"/>
          <w:lang w:val="en-US" w:eastAsia="zh-CN" w:bidi="ar-SA"/>
        </w:rPr>
      </w:pPr>
      <w:r>
        <w:rPr>
          <w:rFonts w:hint="eastAsia" w:ascii="仿宋_GB2312" w:hAnsi="仿宋_GB2312" w:eastAsia="仿宋_GB2312" w:cs="仿宋_GB2312"/>
          <w:color w:val="000000"/>
          <w:kern w:val="2"/>
          <w:sz w:val="32"/>
          <w:szCs w:val="40"/>
          <w:lang w:val="en-US" w:eastAsia="zh-CN" w:bidi="ar-SA"/>
        </w:rPr>
        <w:t>差补费项目主要扣分事项为单位年终考核成绩为“达标</w:t>
      </w:r>
      <w:bookmarkStart w:id="98" w:name="_GoBack"/>
      <w:bookmarkEnd w:id="98"/>
      <w:r>
        <w:rPr>
          <w:rFonts w:hint="eastAsia" w:ascii="仿宋_GB2312" w:hAnsi="仿宋_GB2312" w:eastAsia="仿宋_GB2312" w:cs="仿宋_GB2312"/>
          <w:color w:val="000000"/>
          <w:kern w:val="2"/>
          <w:sz w:val="32"/>
          <w:szCs w:val="40"/>
          <w:lang w:val="en-US" w:eastAsia="zh-CN" w:bidi="ar-SA"/>
        </w:rPr>
        <w:t>”，距离“优秀”等级还有一定差距，下一步一定认真分析工作差距的原因，认真进行整改。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center"/>
        <w:outlineLvl w:val="0"/>
        <w:rPr>
          <w:rFonts w:hint="eastAsia" w:ascii="仿宋_GB2312" w:hAnsi="仿宋_GB2312" w:eastAsia="仿宋_GB2312" w:cs="仿宋_GB2312"/>
          <w:color w:val="000000"/>
          <w:sz w:val="32"/>
          <w:szCs w:val="32"/>
          <w:lang w:val="en-US" w:eastAsia="zh-CN"/>
        </w:rPr>
      </w:pPr>
      <w:bookmarkStart w:id="97" w:name="_Toc11279_WPSOffice_Level1"/>
      <w:r>
        <w:rPr>
          <w:rFonts w:hint="eastAsia" w:ascii="仿宋_GB2312" w:hAnsi="仿宋_GB2312" w:eastAsia="仿宋_GB2312" w:cs="仿宋_GB2312"/>
          <w:b w:val="0"/>
          <w:bCs w:val="0"/>
          <w:color w:val="000000"/>
          <w:sz w:val="32"/>
          <w:szCs w:val="32"/>
          <w:lang w:val="en-US" w:eastAsia="zh-CN"/>
        </w:rPr>
        <w:t>六、意见及建议</w:t>
      </w:r>
      <w:bookmarkEnd w:id="97"/>
    </w:p>
    <w:p>
      <w:pPr>
        <w:spacing w:line="560" w:lineRule="atLeast"/>
        <w:ind w:firstLine="640"/>
        <w:jc w:val="left"/>
        <w:rPr>
          <w:rFonts w:ascii="仿宋_GB2312" w:hAnsi="黑体" w:eastAsia="仿宋_GB2312"/>
          <w:sz w:val="32"/>
        </w:rPr>
      </w:pPr>
      <w:r>
        <w:rPr>
          <w:rFonts w:hint="eastAsia" w:ascii="仿宋_GB2312" w:hAnsi="仿宋_GB2312" w:eastAsia="仿宋_GB2312" w:cs="仿宋_GB2312"/>
          <w:color w:val="000000"/>
          <w:sz w:val="32"/>
          <w:szCs w:val="32"/>
          <w:lang w:val="en-US" w:eastAsia="zh-CN"/>
        </w:rPr>
        <w:t>保障“差补费”项目的相关经费预算安排</w:t>
      </w:r>
      <w:r>
        <w:rPr>
          <w:rFonts w:hint="eastAsia" w:ascii="仿宋_GB2312" w:hAnsi="黑体" w:eastAsia="仿宋_GB2312"/>
          <w:sz w:val="32"/>
        </w:rPr>
        <w:t>，保证在职人员绩效工资、津补贴等必要经费的支出，确保现有队伍的稳定，促进职员工作积极性，为气象工作做出更大贡献。</w:t>
      </w:r>
    </w:p>
    <w:p>
      <w:pPr>
        <w:pageBreakBefore w:val="0"/>
        <w:kinsoku/>
        <w:wordWrap/>
        <w:overflowPunct/>
        <w:topLinePunct w:val="0"/>
        <w:autoSpaceDE/>
        <w:autoSpaceDN/>
        <w:bidi w:val="0"/>
        <w:adjustRightInd/>
        <w:snapToGrid/>
        <w:spacing w:line="560" w:lineRule="exact"/>
        <w:rPr>
          <w:rFonts w:hint="default" w:ascii="仿宋_GB2312" w:hAnsi="仿宋_GB2312" w:eastAsia="仿宋_GB2312" w:cs="仿宋_GB2312"/>
          <w:color w:val="000000"/>
          <w:sz w:val="32"/>
          <w:szCs w:val="32"/>
          <w:lang w:val="en-US" w:eastAsia="zh-CN"/>
        </w:rPr>
      </w:pPr>
    </w:p>
    <w:p>
      <w:pPr>
        <w:pageBreakBefore w:val="0"/>
        <w:kinsoku/>
        <w:wordWrap/>
        <w:overflowPunct/>
        <w:topLinePunct w:val="0"/>
        <w:autoSpaceDE/>
        <w:autoSpaceDN/>
        <w:bidi w:val="0"/>
        <w:adjustRightInd/>
        <w:snapToGrid/>
        <w:spacing w:line="560" w:lineRule="exact"/>
        <w:ind w:firstLine="5760" w:firstLineChars="1800"/>
        <w:rPr>
          <w:rFonts w:hint="eastAsia" w:ascii="仿宋_GB2312" w:hAnsi="仿宋_GB2312" w:eastAsia="仿宋_GB2312" w:cs="仿宋_GB2312"/>
          <w:color w:val="000000"/>
        </w:rPr>
      </w:pPr>
      <w:r>
        <w:rPr>
          <w:rFonts w:hint="eastAsia" w:ascii="仿宋_GB2312" w:hAnsi="仿宋_GB2312" w:eastAsia="仿宋_GB2312" w:cs="仿宋_GB2312"/>
          <w:color w:val="000000"/>
          <w:sz w:val="32"/>
          <w:szCs w:val="32"/>
          <w:lang w:val="en-US" w:eastAsia="zh-CN"/>
        </w:rPr>
        <w:t>2024年3月14日</w:t>
      </w:r>
    </w:p>
    <w:p>
      <w:pPr>
        <w:rPr>
          <w:rFonts w:hint="eastAsia" w:ascii="仿宋_GB2312" w:hAnsi="仿宋_GB2312" w:eastAsia="仿宋_GB2312" w:cs="仿宋_GB2312"/>
        </w:rPr>
      </w:pPr>
    </w:p>
    <w:sectPr>
      <w:footerReference r:id="rId3" w:type="default"/>
      <w:pgSz w:w="11906" w:h="16838"/>
      <w:pgMar w:top="2154" w:right="1474" w:bottom="1984" w:left="1587" w:header="851"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5BB3DD"/>
    <w:multiLevelType w:val="singleLevel"/>
    <w:tmpl w:val="DF5BB3DD"/>
    <w:lvl w:ilvl="0" w:tentative="0">
      <w:start w:val="2"/>
      <w:numFmt w:val="chineseCounting"/>
      <w:suff w:val="nothing"/>
      <w:lvlText w:val="（%1）"/>
      <w:lvlJc w:val="left"/>
      <w:rPr>
        <w:rFonts w:hint="eastAsia"/>
      </w:rPr>
    </w:lvl>
  </w:abstractNum>
  <w:abstractNum w:abstractNumId="1">
    <w:nsid w:val="7282E182"/>
    <w:multiLevelType w:val="singleLevel"/>
    <w:tmpl w:val="7282E182"/>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CC499B"/>
    <w:rsid w:val="00B60E03"/>
    <w:rsid w:val="01B67D1F"/>
    <w:rsid w:val="01CA2AF2"/>
    <w:rsid w:val="03274687"/>
    <w:rsid w:val="04064A0C"/>
    <w:rsid w:val="04321BCD"/>
    <w:rsid w:val="04FF4482"/>
    <w:rsid w:val="057A0A50"/>
    <w:rsid w:val="064C4C17"/>
    <w:rsid w:val="076C3175"/>
    <w:rsid w:val="07CC499B"/>
    <w:rsid w:val="0815567D"/>
    <w:rsid w:val="0909607F"/>
    <w:rsid w:val="09A64785"/>
    <w:rsid w:val="0A3B4E4B"/>
    <w:rsid w:val="0B601B06"/>
    <w:rsid w:val="0BEB58BF"/>
    <w:rsid w:val="0C15027B"/>
    <w:rsid w:val="0C3B2A49"/>
    <w:rsid w:val="0DAA4EE9"/>
    <w:rsid w:val="0E3117D9"/>
    <w:rsid w:val="102B0836"/>
    <w:rsid w:val="1064155D"/>
    <w:rsid w:val="1156122B"/>
    <w:rsid w:val="11F11891"/>
    <w:rsid w:val="12C35BB4"/>
    <w:rsid w:val="140849FA"/>
    <w:rsid w:val="14583EA3"/>
    <w:rsid w:val="151D09B5"/>
    <w:rsid w:val="1689469A"/>
    <w:rsid w:val="16DB1E7D"/>
    <w:rsid w:val="178C6C5A"/>
    <w:rsid w:val="17CD646A"/>
    <w:rsid w:val="184F3049"/>
    <w:rsid w:val="1B3F225B"/>
    <w:rsid w:val="1B4269FF"/>
    <w:rsid w:val="1D4B3C83"/>
    <w:rsid w:val="1DBD7AB3"/>
    <w:rsid w:val="1E0B387E"/>
    <w:rsid w:val="21460607"/>
    <w:rsid w:val="219B71CD"/>
    <w:rsid w:val="21FF1E9B"/>
    <w:rsid w:val="23C1122C"/>
    <w:rsid w:val="243D751D"/>
    <w:rsid w:val="24522B03"/>
    <w:rsid w:val="25ED2FD4"/>
    <w:rsid w:val="264A346A"/>
    <w:rsid w:val="270A41B9"/>
    <w:rsid w:val="274B3C4E"/>
    <w:rsid w:val="285356FD"/>
    <w:rsid w:val="288E37E0"/>
    <w:rsid w:val="290243B4"/>
    <w:rsid w:val="2A5C748F"/>
    <w:rsid w:val="2B10000E"/>
    <w:rsid w:val="2B2D56DA"/>
    <w:rsid w:val="2D391E20"/>
    <w:rsid w:val="30785FD3"/>
    <w:rsid w:val="31702E0D"/>
    <w:rsid w:val="33C32B3C"/>
    <w:rsid w:val="34E52524"/>
    <w:rsid w:val="35CA4ECD"/>
    <w:rsid w:val="35CE5164"/>
    <w:rsid w:val="35F07825"/>
    <w:rsid w:val="360C2FBA"/>
    <w:rsid w:val="363913FE"/>
    <w:rsid w:val="36D6548C"/>
    <w:rsid w:val="376918C7"/>
    <w:rsid w:val="37832AC7"/>
    <w:rsid w:val="38195BED"/>
    <w:rsid w:val="39B23A02"/>
    <w:rsid w:val="3A4766ED"/>
    <w:rsid w:val="3A713A3B"/>
    <w:rsid w:val="3AAB2217"/>
    <w:rsid w:val="3CAE49E3"/>
    <w:rsid w:val="3DAE40CB"/>
    <w:rsid w:val="3E7103A9"/>
    <w:rsid w:val="3E7E746E"/>
    <w:rsid w:val="3EBE2184"/>
    <w:rsid w:val="3F5912F8"/>
    <w:rsid w:val="3F9B4FC0"/>
    <w:rsid w:val="41B74B09"/>
    <w:rsid w:val="43DC781A"/>
    <w:rsid w:val="441C7555"/>
    <w:rsid w:val="450A0AA4"/>
    <w:rsid w:val="45236574"/>
    <w:rsid w:val="46434BE2"/>
    <w:rsid w:val="46AA6AA7"/>
    <w:rsid w:val="478E0E32"/>
    <w:rsid w:val="48A2447B"/>
    <w:rsid w:val="49430BD9"/>
    <w:rsid w:val="494625CA"/>
    <w:rsid w:val="4A2B1596"/>
    <w:rsid w:val="4BD23ED8"/>
    <w:rsid w:val="4C2846CD"/>
    <w:rsid w:val="4C7A4C55"/>
    <w:rsid w:val="4F6A54EE"/>
    <w:rsid w:val="4FDF6ED1"/>
    <w:rsid w:val="514C0EC5"/>
    <w:rsid w:val="51F50157"/>
    <w:rsid w:val="52866F20"/>
    <w:rsid w:val="52EE7A8B"/>
    <w:rsid w:val="535B290E"/>
    <w:rsid w:val="53F1208F"/>
    <w:rsid w:val="54DE5250"/>
    <w:rsid w:val="55495194"/>
    <w:rsid w:val="56115CEE"/>
    <w:rsid w:val="56D42516"/>
    <w:rsid w:val="56FE5044"/>
    <w:rsid w:val="57E03285"/>
    <w:rsid w:val="5AE71036"/>
    <w:rsid w:val="5B5F30DA"/>
    <w:rsid w:val="5BAF6F84"/>
    <w:rsid w:val="5BE03A0F"/>
    <w:rsid w:val="5D5C7CBD"/>
    <w:rsid w:val="5DF86B3F"/>
    <w:rsid w:val="5F1C1ADB"/>
    <w:rsid w:val="60134031"/>
    <w:rsid w:val="60C120AA"/>
    <w:rsid w:val="6304094B"/>
    <w:rsid w:val="64165E4C"/>
    <w:rsid w:val="6536013A"/>
    <w:rsid w:val="68DA698B"/>
    <w:rsid w:val="6A3E1F45"/>
    <w:rsid w:val="6CC4425F"/>
    <w:rsid w:val="6CCC6D4C"/>
    <w:rsid w:val="6D5F4EC3"/>
    <w:rsid w:val="6E3F5A2C"/>
    <w:rsid w:val="7008088F"/>
    <w:rsid w:val="712634CC"/>
    <w:rsid w:val="71A3781D"/>
    <w:rsid w:val="724E698E"/>
    <w:rsid w:val="756501CF"/>
    <w:rsid w:val="778A1BBF"/>
    <w:rsid w:val="778F438E"/>
    <w:rsid w:val="77B668F4"/>
    <w:rsid w:val="7A055146"/>
    <w:rsid w:val="7A757A3F"/>
    <w:rsid w:val="7C647BFE"/>
    <w:rsid w:val="7D9B64C3"/>
    <w:rsid w:val="7FA85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qFormat/>
    <w:uiPriority w:val="0"/>
    <w:pPr>
      <w:spacing w:line="600" w:lineRule="exact"/>
      <w:ind w:firstLine="560" w:firstLineChars="200"/>
      <w:textAlignment w:val="center"/>
    </w:pPr>
    <w:rPr>
      <w:rFonts w:ascii="宋体" w:hAnsi="宋体"/>
      <w:color w:val="FF0000"/>
      <w:sz w:val="28"/>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8">
    <w:name w:val="WPSOffice手动目录 1"/>
    <w:qFormat/>
    <w:uiPriority w:val="0"/>
    <w:pPr>
      <w:ind w:leftChars="0"/>
    </w:pPr>
    <w:rPr>
      <w:rFonts w:ascii="Times New Roman" w:hAnsi="Times New Roman" w:eastAsia="宋体" w:cs="Times New Roman"/>
      <w:sz w:val="20"/>
      <w:szCs w:val="20"/>
    </w:rPr>
  </w:style>
  <w:style w:type="paragraph" w:customStyle="1" w:styleId="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2021-07-20T09:00:00Z</dcterms:created>
  <dc:creator>user</dc:creator>
  <cp:lastModifiedBy>刘慧慧:拟稿人校对</cp:lastModifiedBy>
  <dcterms:modified xsi:type="dcterms:W3CDTF">2024-03-14T08:22:03Z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41260B391483414CBAB659E47BBFBA50</vt:lpwstr>
  </property>
</Properties>
</file>