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172" w:line="259" w:lineRule="auto"/>
        <w:jc w:val="center"/>
        <w:rPr>
          <w:rFonts w:ascii="仿宋" w:hAnsi="仿宋" w:eastAsia="仿宋" w:cs="仿宋"/>
          <w:b/>
          <w:sz w:val="44"/>
          <w:szCs w:val="44"/>
        </w:rPr>
      </w:pPr>
      <w:r>
        <w:rPr>
          <w:rFonts w:hint="eastAsia" w:ascii="仿宋" w:hAnsi="仿宋" w:eastAsia="仿宋" w:cs="仿宋"/>
          <w:b/>
          <w:sz w:val="44"/>
          <w:szCs w:val="44"/>
        </w:rPr>
        <w:t>秦皇岛市气象局20</w:t>
      </w:r>
      <w:r>
        <w:rPr>
          <w:rFonts w:hint="eastAsia" w:ascii="仿宋" w:hAnsi="仿宋" w:eastAsia="仿宋" w:cs="仿宋"/>
          <w:b/>
          <w:sz w:val="44"/>
          <w:szCs w:val="44"/>
          <w:lang w:val="en-US" w:eastAsia="zh-CN"/>
        </w:rPr>
        <w:t>20</w:t>
      </w:r>
      <w:r>
        <w:rPr>
          <w:rFonts w:hint="eastAsia" w:ascii="仿宋" w:hAnsi="仿宋" w:eastAsia="仿宋" w:cs="仿宋"/>
          <w:b/>
          <w:sz w:val="44"/>
          <w:szCs w:val="44"/>
        </w:rPr>
        <w:t>年部门预算信息公开</w:t>
      </w:r>
    </w:p>
    <w:p>
      <w:pPr>
        <w:ind w:left="-15"/>
        <w:rPr>
          <w:rFonts w:ascii="仿宋" w:hAnsi="仿宋" w:eastAsia="仿宋"/>
          <w:szCs w:val="32"/>
        </w:rPr>
      </w:pPr>
      <w:r>
        <w:rPr>
          <w:rFonts w:ascii="仿宋" w:hAnsi="仿宋" w:eastAsia="仿宋"/>
          <w:szCs w:val="32"/>
        </w:rPr>
        <w:t>按照《预算法》、《</w:t>
      </w:r>
      <w:r>
        <w:rPr>
          <w:rFonts w:hint="eastAsia" w:ascii="仿宋" w:hAnsi="仿宋" w:eastAsia="仿宋"/>
          <w:szCs w:val="32"/>
        </w:rPr>
        <w:t>河北省</w:t>
      </w:r>
      <w:r>
        <w:rPr>
          <w:rFonts w:ascii="仿宋" w:hAnsi="仿宋" w:eastAsia="仿宋"/>
          <w:szCs w:val="32"/>
        </w:rPr>
        <w:t>预决算公开操作规程</w:t>
      </w:r>
      <w:r>
        <w:rPr>
          <w:rFonts w:hint="eastAsia" w:ascii="仿宋" w:hAnsi="仿宋" w:eastAsia="仿宋"/>
          <w:szCs w:val="32"/>
        </w:rPr>
        <w:t>实施细则</w:t>
      </w:r>
      <w:r>
        <w:rPr>
          <w:rFonts w:ascii="仿宋" w:hAnsi="仿宋" w:eastAsia="仿宋"/>
          <w:szCs w:val="32"/>
        </w:rPr>
        <w:t>》和《</w:t>
      </w:r>
      <w:r>
        <w:rPr>
          <w:rFonts w:hint="eastAsia" w:ascii="仿宋" w:hAnsi="仿宋" w:eastAsia="仿宋"/>
          <w:szCs w:val="32"/>
        </w:rPr>
        <w:t>秦皇岛市市</w:t>
      </w:r>
      <w:r>
        <w:rPr>
          <w:rFonts w:ascii="仿宋" w:hAnsi="仿宋" w:eastAsia="仿宋"/>
          <w:szCs w:val="32"/>
        </w:rPr>
        <w:t>级预算公开办法》规定，现将</w:t>
      </w:r>
      <w:r>
        <w:rPr>
          <w:rFonts w:hint="eastAsia" w:ascii="仿宋" w:hAnsi="仿宋" w:eastAsia="仿宋"/>
          <w:szCs w:val="32"/>
        </w:rPr>
        <w:t>秦皇岛市气象局</w:t>
      </w:r>
      <w:r>
        <w:rPr>
          <w:rFonts w:ascii="仿宋" w:hAnsi="仿宋" w:eastAsia="仿宋" w:cs="Times New Roman"/>
          <w:szCs w:val="32"/>
        </w:rPr>
        <w:t>20</w:t>
      </w:r>
      <w:r>
        <w:rPr>
          <w:rFonts w:hint="eastAsia" w:ascii="仿宋" w:hAnsi="仿宋" w:eastAsia="仿宋" w:cs="Times New Roman"/>
          <w:szCs w:val="32"/>
          <w:lang w:val="en-US" w:eastAsia="zh-CN"/>
        </w:rPr>
        <w:t>20</w:t>
      </w:r>
      <w:r>
        <w:rPr>
          <w:rFonts w:ascii="仿宋" w:hAnsi="仿宋" w:eastAsia="仿宋"/>
          <w:szCs w:val="32"/>
        </w:rPr>
        <w:t>年部门预算公开如下：</w:t>
      </w:r>
    </w:p>
    <w:p>
      <w:pPr>
        <w:pStyle w:val="10"/>
        <w:numPr>
          <w:ilvl w:val="0"/>
          <w:numId w:val="1"/>
        </w:numPr>
        <w:spacing w:after="10" w:line="378" w:lineRule="auto"/>
        <w:ind w:right="8665" w:firstLineChars="0"/>
        <w:rPr>
          <w:rFonts w:ascii="黑体" w:hAnsi="黑体" w:eastAsia="黑体"/>
          <w:szCs w:val="32"/>
        </w:rPr>
      </w:pPr>
      <w:r>
        <w:rPr>
          <w:rFonts w:ascii="黑体" w:hAnsi="黑体" w:eastAsia="黑体"/>
          <w:szCs w:val="32"/>
        </w:rPr>
        <w:t>部门职责及机构设置情况</w:t>
      </w:r>
    </w:p>
    <w:p>
      <w:pPr>
        <w:spacing w:after="10" w:line="378" w:lineRule="auto"/>
        <w:ind w:left="627" w:leftChars="196" w:right="8665" w:firstLine="160" w:firstLineChars="50"/>
        <w:rPr>
          <w:rFonts w:ascii="仿宋" w:hAnsi="仿宋" w:eastAsia="仿宋" w:cs="仿宋"/>
          <w:szCs w:val="32"/>
        </w:rPr>
      </w:pPr>
      <w:r>
        <w:rPr>
          <w:rFonts w:hint="eastAsia" w:ascii="仿宋" w:hAnsi="仿宋" w:eastAsia="仿宋" w:cs="仿宋"/>
          <w:szCs w:val="32"/>
        </w:rPr>
        <w:t>部门职责：</w:t>
      </w:r>
    </w:p>
    <w:p>
      <w:pPr>
        <w:widowControl w:val="0"/>
        <w:spacing w:after="0" w:line="387" w:lineRule="auto"/>
        <w:ind w:firstLine="640" w:firstLineChars="200"/>
        <w:rPr>
          <w:rFonts w:ascii="仿宋" w:hAnsi="仿宋" w:eastAsia="仿宋" w:cs="仿宋"/>
          <w:szCs w:val="32"/>
        </w:rPr>
      </w:pPr>
      <w:r>
        <w:rPr>
          <w:rFonts w:hint="eastAsia" w:ascii="仿宋" w:hAnsi="仿宋" w:eastAsia="仿宋" w:cs="仿宋"/>
          <w:szCs w:val="32"/>
        </w:rPr>
        <w:t>1.负责编制本行政区域内气象事业发展规划、计划，并组织实施；负责本行政区域内气象设施建设项目的审查；对本行政区域内的气象活动进行指导、监督和行业管理。</w:t>
      </w:r>
    </w:p>
    <w:p>
      <w:pPr>
        <w:widowControl w:val="0"/>
        <w:spacing w:after="0" w:line="387" w:lineRule="auto"/>
        <w:ind w:firstLine="640" w:firstLineChars="200"/>
        <w:rPr>
          <w:rFonts w:ascii="仿宋" w:hAnsi="仿宋" w:eastAsia="仿宋" w:cs="仿宋"/>
          <w:szCs w:val="32"/>
        </w:rPr>
      </w:pPr>
      <w:r>
        <w:rPr>
          <w:rFonts w:hint="eastAsia" w:ascii="仿宋" w:hAnsi="仿宋" w:eastAsia="仿宋" w:cs="仿宋"/>
          <w:szCs w:val="32"/>
        </w:rPr>
        <w:t>2.组织管理本行政区域内气象探测资料的汇总、传输与应用；组织实施本行政区域内气象装备技术保障发展规划；依法保护气象探测环境；负责建设项目大气环境影响评价和使用气象资料审查。</w:t>
      </w:r>
    </w:p>
    <w:p>
      <w:pPr>
        <w:widowControl w:val="0"/>
        <w:spacing w:after="0" w:line="387" w:lineRule="auto"/>
        <w:ind w:firstLine="640" w:firstLineChars="200"/>
        <w:rPr>
          <w:rFonts w:ascii="仿宋" w:hAnsi="仿宋" w:eastAsia="仿宋" w:cs="仿宋"/>
          <w:szCs w:val="32"/>
        </w:rPr>
      </w:pPr>
      <w:r>
        <w:rPr>
          <w:rFonts w:hint="eastAsia" w:ascii="仿宋" w:hAnsi="仿宋" w:eastAsia="仿宋" w:cs="仿宋"/>
          <w:szCs w:val="32"/>
        </w:rPr>
        <w:t>3.负责本行政区域内的气象观测、预报、预警管理工作；管理本行政区域内公共气象服务工作；管理本行政区域内公众气象预报、短期气候预测、灾害性天气警报以及农业气象预报、城市环境气象预报、火险气象等级预报等专业气象预报和气候影响评价的发布。</w:t>
      </w:r>
    </w:p>
    <w:p>
      <w:pPr>
        <w:widowControl w:val="0"/>
        <w:spacing w:after="0"/>
        <w:ind w:firstLine="640" w:firstLineChars="200"/>
        <w:rPr>
          <w:rFonts w:ascii="仿宋" w:hAnsi="仿宋" w:eastAsia="仿宋" w:cs="仿宋"/>
          <w:szCs w:val="32"/>
        </w:rPr>
      </w:pPr>
      <w:r>
        <w:rPr>
          <w:rFonts w:hint="eastAsia" w:ascii="仿宋" w:hAnsi="仿宋" w:eastAsia="仿宋" w:cs="仿宋"/>
          <w:szCs w:val="32"/>
        </w:rPr>
        <w:t>4.组织制订和实施本行政区域气象灾害防御规划；组织本行政区域内气象灾害防御管理工作；负责本行政区域内突发公共事件气象保障工作。</w:t>
      </w:r>
    </w:p>
    <w:p>
      <w:pPr>
        <w:widowControl w:val="0"/>
        <w:spacing w:after="0"/>
        <w:ind w:firstLine="640" w:firstLineChars="200"/>
        <w:rPr>
          <w:rFonts w:ascii="仿宋" w:hAnsi="仿宋" w:eastAsia="仿宋" w:cs="仿宋"/>
          <w:szCs w:val="32"/>
        </w:rPr>
      </w:pPr>
      <w:r>
        <w:rPr>
          <w:rFonts w:hint="eastAsia" w:ascii="仿宋" w:hAnsi="仿宋" w:eastAsia="仿宋" w:cs="仿宋"/>
          <w:szCs w:val="32"/>
        </w:rPr>
        <w:t>5.制定本行政区域人工影响天气工作计划报上级气象主管机构批准，并在本级人民政府的领导和协调下，管理、指导和组织辖区内人工影响天气；组织管理雷电灾害防御工作，会同有关部门指导对可能遭受袭击的建筑物、构筑物和其它设施安装的雷电灾害防护装置的检测工作，负责本行政区域内防雷装置的设计审核和竣工验收；按照职责分工，在当地人民政府的指导和协调下，负责管理本行政区域内的施放气球活动。</w:t>
      </w:r>
    </w:p>
    <w:p>
      <w:pPr>
        <w:widowControl w:val="0"/>
        <w:spacing w:after="0"/>
        <w:ind w:firstLine="640" w:firstLineChars="200"/>
        <w:rPr>
          <w:rFonts w:ascii="仿宋" w:hAnsi="仿宋" w:eastAsia="仿宋" w:cs="仿宋"/>
          <w:szCs w:val="32"/>
        </w:rPr>
      </w:pPr>
      <w:r>
        <w:rPr>
          <w:rFonts w:hint="eastAsia" w:ascii="仿宋" w:hAnsi="仿宋" w:eastAsia="仿宋" w:cs="仿宋"/>
          <w:szCs w:val="32"/>
        </w:rPr>
        <w:t>6. 组织本区域气候资源的综合调查、区划，指导气候资源的开发利用和保护，组织并审查重点建设工程、重大区域经济开发项目和城乡建设规划的气候可行性论证和气象灾害风险评估；参与本级人民政府应对气候变化工作，组织开展气候变化影响评估和决策咨询服务。</w:t>
      </w:r>
    </w:p>
    <w:p>
      <w:pPr>
        <w:widowControl w:val="0"/>
        <w:spacing w:after="0"/>
        <w:ind w:firstLine="640" w:firstLineChars="200"/>
        <w:rPr>
          <w:rFonts w:ascii="仿宋" w:hAnsi="仿宋" w:eastAsia="仿宋" w:cs="仿宋"/>
          <w:szCs w:val="32"/>
        </w:rPr>
      </w:pPr>
      <w:r>
        <w:rPr>
          <w:rFonts w:hint="eastAsia" w:ascii="仿宋" w:hAnsi="仿宋" w:eastAsia="仿宋" w:cs="仿宋"/>
          <w:szCs w:val="32"/>
        </w:rPr>
        <w:t>7.组织开展气象</w:t>
      </w:r>
      <w:r>
        <w:rPr>
          <w:rFonts w:hint="eastAsia" w:ascii="仿宋" w:hAnsi="仿宋" w:eastAsia="仿宋" w:cs="仿宋"/>
          <w:szCs w:val="32"/>
          <w:lang w:val="en-US" w:eastAsia="zh-CN"/>
        </w:rPr>
        <w:t>法治</w:t>
      </w:r>
      <w:bookmarkStart w:id="1" w:name="_GoBack"/>
      <w:bookmarkEnd w:id="1"/>
      <w:r>
        <w:rPr>
          <w:rFonts w:hint="eastAsia" w:ascii="仿宋" w:hAnsi="仿宋" w:eastAsia="仿宋" w:cs="仿宋"/>
          <w:szCs w:val="32"/>
        </w:rPr>
        <w:t>宣传教育，负责监督有关气象法规的实施，对违反《中华人民共和国气象法》等法律法规有关规定的行为依法进行处罚，承担有关行政复议和行政诉讼；组织宣传、普及气象科学知识，提高全民气象防灾减灾和应对气候变化意识。</w:t>
      </w:r>
    </w:p>
    <w:p>
      <w:pPr>
        <w:widowControl w:val="0"/>
        <w:spacing w:after="0"/>
        <w:ind w:firstLine="640" w:firstLineChars="200"/>
        <w:rPr>
          <w:rFonts w:ascii="仿宋" w:hAnsi="仿宋" w:eastAsia="仿宋" w:cs="仿宋"/>
          <w:szCs w:val="32"/>
        </w:rPr>
      </w:pPr>
      <w:r>
        <w:rPr>
          <w:rFonts w:hint="eastAsia" w:ascii="仿宋" w:hAnsi="仿宋" w:eastAsia="仿宋" w:cs="仿宋"/>
          <w:szCs w:val="32"/>
        </w:rPr>
        <w:t>8.统一领导和管理本行政区域内气象部门的计划财务、人事劳动、科研和培训以及业务建设等工作；会同县（区、市）人民政府对县（区、市）气象机构实施以部门为主的双重管理；协助地方党委和人民政府做好当地气象部门党的建设、精神文明和气象文化建设。</w:t>
      </w:r>
    </w:p>
    <w:p>
      <w:pPr>
        <w:ind w:firstLine="640" w:firstLineChars="200"/>
        <w:rPr>
          <w:rFonts w:ascii="仿宋" w:hAnsi="仿宋" w:eastAsia="仿宋" w:cs="仿宋"/>
          <w:szCs w:val="32"/>
        </w:rPr>
      </w:pPr>
      <w:r>
        <w:rPr>
          <w:rFonts w:hint="eastAsia" w:ascii="仿宋" w:hAnsi="仿宋" w:eastAsia="仿宋" w:cs="仿宋"/>
          <w:szCs w:val="32"/>
        </w:rPr>
        <w:t>9.承担上级气象主管机构和本级人民政府交办的其它事项。</w:t>
      </w:r>
    </w:p>
    <w:p>
      <w:pPr>
        <w:spacing w:after="201" w:line="259" w:lineRule="auto"/>
        <w:ind w:firstLine="793" w:firstLineChars="248"/>
        <w:rPr>
          <w:rFonts w:ascii="仿宋" w:hAnsi="仿宋" w:eastAsia="仿宋" w:cs="仿宋"/>
          <w:szCs w:val="32"/>
        </w:rPr>
      </w:pPr>
      <w:r>
        <w:rPr>
          <w:rFonts w:hint="eastAsia" w:ascii="仿宋" w:hAnsi="仿宋" w:eastAsia="仿宋" w:cs="仿宋"/>
          <w:szCs w:val="32"/>
        </w:rPr>
        <w:t>机构设置：</w:t>
      </w:r>
    </w:p>
    <w:p>
      <w:pPr>
        <w:spacing w:after="0" w:line="259" w:lineRule="auto"/>
        <w:ind w:right="6014" w:firstLine="0"/>
        <w:jc w:val="right"/>
        <w:rPr>
          <w:rFonts w:ascii="仿宋" w:hAnsi="仿宋" w:eastAsia="仿宋" w:cs="仿宋"/>
          <w:szCs w:val="32"/>
        </w:rPr>
      </w:pPr>
      <w:r>
        <w:rPr>
          <w:rFonts w:hint="eastAsia" w:ascii="仿宋" w:hAnsi="仿宋" w:eastAsia="仿宋" w:cs="仿宋"/>
          <w:szCs w:val="32"/>
        </w:rPr>
        <w:t>部门机构设置情况</w:t>
      </w:r>
    </w:p>
    <w:tbl>
      <w:tblPr>
        <w:tblStyle w:val="8"/>
        <w:tblW w:w="10057" w:type="dxa"/>
        <w:tblInd w:w="2100" w:type="dxa"/>
        <w:tblLayout w:type="fixed"/>
        <w:tblCellMar>
          <w:top w:w="64" w:type="dxa"/>
          <w:left w:w="108" w:type="dxa"/>
          <w:bottom w:w="0" w:type="dxa"/>
          <w:right w:w="94" w:type="dxa"/>
        </w:tblCellMar>
      </w:tblPr>
      <w:tblGrid>
        <w:gridCol w:w="3321"/>
        <w:gridCol w:w="1750"/>
        <w:gridCol w:w="1785"/>
        <w:gridCol w:w="3201"/>
      </w:tblGrid>
      <w:tr>
        <w:tblPrEx>
          <w:tblCellMar>
            <w:top w:w="64" w:type="dxa"/>
            <w:left w:w="108" w:type="dxa"/>
            <w:bottom w:w="0" w:type="dxa"/>
            <w:right w:w="94" w:type="dxa"/>
          </w:tblCellMar>
        </w:tblPrEx>
        <w:trPr>
          <w:trHeight w:val="629" w:hRule="atLeast"/>
        </w:trPr>
        <w:tc>
          <w:tcPr>
            <w:tcW w:w="3321" w:type="dxa"/>
            <w:tcBorders>
              <w:top w:val="single" w:color="000000" w:sz="6" w:space="0"/>
              <w:left w:val="single" w:color="000000" w:sz="6" w:space="0"/>
              <w:bottom w:val="single" w:color="000000" w:sz="6" w:space="0"/>
              <w:right w:val="single" w:color="000000" w:sz="6" w:space="0"/>
            </w:tcBorders>
            <w:vAlign w:val="center"/>
          </w:tcPr>
          <w:p>
            <w:pPr>
              <w:spacing w:after="0" w:line="259" w:lineRule="auto"/>
              <w:ind w:right="14" w:firstLine="0"/>
              <w:jc w:val="center"/>
              <w:rPr>
                <w:rFonts w:ascii="仿宋" w:hAnsi="仿宋" w:eastAsia="仿宋" w:cs="仿宋"/>
                <w:szCs w:val="32"/>
              </w:rPr>
            </w:pPr>
            <w:r>
              <w:rPr>
                <w:rFonts w:hint="eastAsia" w:ascii="仿宋" w:hAnsi="仿宋" w:eastAsia="仿宋" w:cs="仿宋"/>
                <w:szCs w:val="32"/>
              </w:rPr>
              <w:t>单位名称</w:t>
            </w:r>
          </w:p>
        </w:tc>
        <w:tc>
          <w:tcPr>
            <w:tcW w:w="1750" w:type="dxa"/>
            <w:tcBorders>
              <w:top w:val="single" w:color="000000" w:sz="6" w:space="0"/>
              <w:left w:val="single" w:color="000000" w:sz="6" w:space="0"/>
              <w:bottom w:val="single" w:color="000000" w:sz="6" w:space="0"/>
              <w:right w:val="single" w:color="000000" w:sz="6" w:space="0"/>
            </w:tcBorders>
            <w:vAlign w:val="center"/>
          </w:tcPr>
          <w:p>
            <w:pPr>
              <w:spacing w:after="0" w:line="259" w:lineRule="auto"/>
              <w:ind w:left="36" w:firstLine="0"/>
              <w:jc w:val="both"/>
              <w:rPr>
                <w:rFonts w:ascii="仿宋" w:hAnsi="仿宋" w:eastAsia="仿宋" w:cs="仿宋"/>
                <w:szCs w:val="32"/>
              </w:rPr>
            </w:pPr>
            <w:r>
              <w:rPr>
                <w:rFonts w:hint="eastAsia" w:ascii="仿宋" w:hAnsi="仿宋" w:eastAsia="仿宋" w:cs="仿宋"/>
                <w:szCs w:val="32"/>
              </w:rPr>
              <w:t>单位性质</w:t>
            </w:r>
          </w:p>
        </w:tc>
        <w:tc>
          <w:tcPr>
            <w:tcW w:w="1785" w:type="dxa"/>
            <w:tcBorders>
              <w:top w:val="single" w:color="000000" w:sz="6" w:space="0"/>
              <w:left w:val="single" w:color="000000" w:sz="6" w:space="0"/>
              <w:bottom w:val="single" w:color="000000" w:sz="6" w:space="0"/>
              <w:right w:val="single" w:color="000000" w:sz="6" w:space="0"/>
            </w:tcBorders>
            <w:vAlign w:val="center"/>
          </w:tcPr>
          <w:p>
            <w:pPr>
              <w:spacing w:after="0" w:line="259" w:lineRule="auto"/>
              <w:ind w:left="108" w:firstLine="0"/>
              <w:rPr>
                <w:rFonts w:ascii="仿宋" w:hAnsi="仿宋" w:eastAsia="仿宋" w:cs="仿宋"/>
                <w:szCs w:val="32"/>
              </w:rPr>
            </w:pPr>
            <w:r>
              <w:rPr>
                <w:rFonts w:hint="eastAsia" w:ascii="仿宋" w:hAnsi="仿宋" w:eastAsia="仿宋" w:cs="仿宋"/>
                <w:szCs w:val="32"/>
              </w:rPr>
              <w:t>单位规格</w:t>
            </w:r>
          </w:p>
        </w:tc>
        <w:tc>
          <w:tcPr>
            <w:tcW w:w="3201" w:type="dxa"/>
            <w:tcBorders>
              <w:top w:val="single" w:color="000000" w:sz="6" w:space="0"/>
              <w:left w:val="single" w:color="000000" w:sz="6" w:space="0"/>
              <w:bottom w:val="single" w:color="000000" w:sz="6" w:space="0"/>
              <w:right w:val="single" w:color="000000" w:sz="6" w:space="0"/>
            </w:tcBorders>
            <w:vAlign w:val="center"/>
          </w:tcPr>
          <w:p>
            <w:pPr>
              <w:spacing w:after="0" w:line="259" w:lineRule="auto"/>
              <w:ind w:right="13" w:firstLine="0"/>
              <w:jc w:val="center"/>
              <w:rPr>
                <w:rFonts w:ascii="仿宋" w:hAnsi="仿宋" w:eastAsia="仿宋" w:cs="仿宋"/>
                <w:szCs w:val="32"/>
              </w:rPr>
            </w:pPr>
            <w:r>
              <w:rPr>
                <w:rFonts w:hint="eastAsia" w:ascii="仿宋" w:hAnsi="仿宋" w:eastAsia="仿宋" w:cs="仿宋"/>
                <w:szCs w:val="32"/>
              </w:rPr>
              <w:t>经费保障形式</w:t>
            </w:r>
          </w:p>
        </w:tc>
      </w:tr>
      <w:tr>
        <w:tblPrEx>
          <w:tblCellMar>
            <w:top w:w="64" w:type="dxa"/>
            <w:left w:w="108" w:type="dxa"/>
            <w:bottom w:w="0" w:type="dxa"/>
            <w:right w:w="94" w:type="dxa"/>
          </w:tblCellMar>
        </w:tblPrEx>
        <w:trPr>
          <w:trHeight w:val="317" w:hRule="atLeast"/>
        </w:trPr>
        <w:tc>
          <w:tcPr>
            <w:tcW w:w="3321" w:type="dxa"/>
            <w:tcBorders>
              <w:top w:val="single" w:color="000000" w:sz="6" w:space="0"/>
              <w:left w:val="single" w:color="000000" w:sz="6" w:space="0"/>
              <w:bottom w:val="single" w:color="000000" w:sz="6" w:space="0"/>
              <w:right w:val="single" w:color="000000" w:sz="6" w:space="0"/>
            </w:tcBorders>
          </w:tcPr>
          <w:p>
            <w:pPr>
              <w:spacing w:after="0" w:line="259" w:lineRule="auto"/>
              <w:ind w:firstLine="0"/>
              <w:rPr>
                <w:rFonts w:ascii="仿宋" w:hAnsi="仿宋" w:eastAsia="仿宋" w:cs="仿宋"/>
                <w:color w:val="auto"/>
                <w:szCs w:val="32"/>
              </w:rPr>
            </w:pPr>
            <w:r>
              <w:rPr>
                <w:rFonts w:hint="eastAsia" w:ascii="仿宋" w:hAnsi="仿宋" w:eastAsia="仿宋" w:cs="仿宋"/>
                <w:color w:val="auto"/>
                <w:szCs w:val="32"/>
              </w:rPr>
              <w:t>秦皇岛市气象局</w:t>
            </w:r>
          </w:p>
        </w:tc>
        <w:tc>
          <w:tcPr>
            <w:tcW w:w="1750" w:type="dxa"/>
            <w:tcBorders>
              <w:top w:val="single" w:color="000000" w:sz="6" w:space="0"/>
              <w:left w:val="single" w:color="000000" w:sz="6" w:space="0"/>
              <w:bottom w:val="single" w:color="000000" w:sz="6" w:space="0"/>
              <w:right w:val="single" w:color="000000" w:sz="6" w:space="0"/>
            </w:tcBorders>
          </w:tcPr>
          <w:p>
            <w:pPr>
              <w:spacing w:after="0" w:line="259" w:lineRule="auto"/>
              <w:ind w:firstLine="320" w:firstLineChars="100"/>
              <w:rPr>
                <w:rFonts w:ascii="仿宋" w:hAnsi="仿宋" w:eastAsia="仿宋" w:cs="仿宋"/>
                <w:color w:val="auto"/>
                <w:szCs w:val="32"/>
              </w:rPr>
            </w:pPr>
            <w:r>
              <w:rPr>
                <w:rFonts w:hint="eastAsia" w:ascii="仿宋" w:hAnsi="仿宋" w:eastAsia="仿宋" w:cs="仿宋"/>
                <w:color w:val="auto"/>
                <w:szCs w:val="32"/>
              </w:rPr>
              <w:t>事业</w:t>
            </w:r>
          </w:p>
        </w:tc>
        <w:tc>
          <w:tcPr>
            <w:tcW w:w="1785" w:type="dxa"/>
            <w:tcBorders>
              <w:top w:val="single" w:color="000000" w:sz="6" w:space="0"/>
              <w:left w:val="single" w:color="000000" w:sz="6" w:space="0"/>
              <w:bottom w:val="single" w:color="000000" w:sz="6" w:space="0"/>
              <w:right w:val="single" w:color="000000" w:sz="6" w:space="0"/>
            </w:tcBorders>
          </w:tcPr>
          <w:p>
            <w:pPr>
              <w:spacing w:after="0" w:line="259" w:lineRule="auto"/>
              <w:ind w:firstLine="160" w:firstLineChars="50"/>
              <w:rPr>
                <w:rFonts w:ascii="仿宋" w:hAnsi="仿宋" w:eastAsia="仿宋" w:cs="仿宋"/>
                <w:color w:val="auto"/>
                <w:szCs w:val="32"/>
              </w:rPr>
            </w:pPr>
            <w:r>
              <w:rPr>
                <w:rFonts w:hint="eastAsia" w:ascii="仿宋" w:hAnsi="仿宋" w:eastAsia="仿宋" w:cs="仿宋"/>
                <w:color w:val="auto"/>
                <w:szCs w:val="32"/>
              </w:rPr>
              <w:t>正处级</w:t>
            </w:r>
          </w:p>
        </w:tc>
        <w:tc>
          <w:tcPr>
            <w:tcW w:w="3201" w:type="dxa"/>
            <w:tcBorders>
              <w:top w:val="single" w:color="000000" w:sz="6" w:space="0"/>
              <w:left w:val="single" w:color="000000" w:sz="6" w:space="0"/>
              <w:bottom w:val="single" w:color="000000" w:sz="6" w:space="0"/>
              <w:right w:val="single" w:color="000000" w:sz="6" w:space="0"/>
            </w:tcBorders>
          </w:tcPr>
          <w:p>
            <w:pPr>
              <w:spacing w:after="0" w:line="259" w:lineRule="auto"/>
              <w:ind w:left="0" w:leftChars="0" w:firstLine="0" w:firstLineChars="0"/>
              <w:rPr>
                <w:rFonts w:hint="eastAsia" w:ascii="仿宋" w:hAnsi="仿宋" w:eastAsia="仿宋" w:cs="仿宋"/>
                <w:color w:val="auto"/>
                <w:szCs w:val="32"/>
                <w:lang w:eastAsia="zh-CN"/>
              </w:rPr>
            </w:pPr>
            <w:r>
              <w:rPr>
                <w:rFonts w:hint="eastAsia" w:ascii="仿宋" w:hAnsi="仿宋" w:eastAsia="仿宋" w:cs="仿宋"/>
                <w:color w:val="auto"/>
                <w:szCs w:val="32"/>
              </w:rPr>
              <w:t>财政</w:t>
            </w:r>
            <w:r>
              <w:rPr>
                <w:rFonts w:hint="eastAsia" w:ascii="仿宋" w:hAnsi="仿宋" w:eastAsia="仿宋" w:cs="仿宋"/>
                <w:color w:val="auto"/>
                <w:szCs w:val="32"/>
                <w:lang w:eastAsia="zh-CN"/>
              </w:rPr>
              <w:t>性资金基本保证</w:t>
            </w:r>
          </w:p>
        </w:tc>
      </w:tr>
      <w:tr>
        <w:tblPrEx>
          <w:tblCellMar>
            <w:top w:w="64" w:type="dxa"/>
            <w:left w:w="108" w:type="dxa"/>
            <w:bottom w:w="0" w:type="dxa"/>
            <w:right w:w="94" w:type="dxa"/>
          </w:tblCellMar>
        </w:tblPrEx>
        <w:trPr>
          <w:trHeight w:val="317" w:hRule="atLeast"/>
        </w:trPr>
        <w:tc>
          <w:tcPr>
            <w:tcW w:w="3321" w:type="dxa"/>
            <w:tcBorders>
              <w:top w:val="single" w:color="000000" w:sz="6" w:space="0"/>
              <w:left w:val="single" w:color="000000" w:sz="6" w:space="0"/>
              <w:bottom w:val="single" w:color="000000" w:sz="6" w:space="0"/>
              <w:right w:val="single" w:color="000000" w:sz="6" w:space="0"/>
            </w:tcBorders>
          </w:tcPr>
          <w:p>
            <w:pPr>
              <w:spacing w:after="0" w:line="259" w:lineRule="auto"/>
              <w:ind w:firstLine="0"/>
              <w:rPr>
                <w:rFonts w:hint="eastAsia" w:ascii="仿宋" w:hAnsi="仿宋" w:eastAsia="仿宋" w:cs="仿宋"/>
                <w:color w:val="auto"/>
                <w:szCs w:val="32"/>
                <w:lang w:eastAsia="zh-CN"/>
              </w:rPr>
            </w:pPr>
            <w:r>
              <w:rPr>
                <w:rFonts w:hint="eastAsia" w:ascii="仿宋" w:hAnsi="仿宋" w:eastAsia="仿宋" w:cs="仿宋"/>
                <w:color w:val="auto"/>
                <w:szCs w:val="32"/>
                <w:lang w:eastAsia="zh-CN"/>
              </w:rPr>
              <w:t>秦皇岛气象灾害防御中心</w:t>
            </w:r>
          </w:p>
        </w:tc>
        <w:tc>
          <w:tcPr>
            <w:tcW w:w="1750" w:type="dxa"/>
            <w:tcBorders>
              <w:top w:val="single" w:color="000000" w:sz="6" w:space="0"/>
              <w:left w:val="single" w:color="000000" w:sz="6" w:space="0"/>
              <w:bottom w:val="single" w:color="000000" w:sz="6" w:space="0"/>
              <w:right w:val="single" w:color="000000" w:sz="6" w:space="0"/>
            </w:tcBorders>
          </w:tcPr>
          <w:p>
            <w:pPr>
              <w:spacing w:after="0" w:line="259" w:lineRule="auto"/>
              <w:ind w:firstLine="320" w:firstLineChars="100"/>
              <w:rPr>
                <w:rFonts w:hint="eastAsia" w:ascii="仿宋" w:hAnsi="仿宋" w:eastAsia="仿宋" w:cs="仿宋"/>
                <w:color w:val="auto"/>
                <w:szCs w:val="32"/>
                <w:lang w:eastAsia="zh-CN"/>
              </w:rPr>
            </w:pPr>
            <w:r>
              <w:rPr>
                <w:rFonts w:hint="eastAsia" w:ascii="仿宋" w:hAnsi="仿宋" w:eastAsia="仿宋" w:cs="仿宋"/>
                <w:color w:val="auto"/>
                <w:szCs w:val="32"/>
                <w:lang w:eastAsia="zh-CN"/>
              </w:rPr>
              <w:t>事业</w:t>
            </w:r>
          </w:p>
        </w:tc>
        <w:tc>
          <w:tcPr>
            <w:tcW w:w="1785" w:type="dxa"/>
            <w:tcBorders>
              <w:top w:val="single" w:color="000000" w:sz="6" w:space="0"/>
              <w:left w:val="single" w:color="000000" w:sz="6" w:space="0"/>
              <w:bottom w:val="single" w:color="000000" w:sz="6" w:space="0"/>
              <w:right w:val="single" w:color="000000" w:sz="6" w:space="0"/>
            </w:tcBorders>
          </w:tcPr>
          <w:p>
            <w:pPr>
              <w:spacing w:after="0" w:line="259" w:lineRule="auto"/>
              <w:ind w:firstLine="160" w:firstLineChars="50"/>
              <w:rPr>
                <w:rFonts w:hint="eastAsia" w:ascii="仿宋" w:hAnsi="仿宋" w:eastAsia="仿宋" w:cs="仿宋"/>
                <w:color w:val="auto"/>
                <w:szCs w:val="32"/>
                <w:lang w:eastAsia="zh-CN"/>
              </w:rPr>
            </w:pPr>
            <w:r>
              <w:rPr>
                <w:rFonts w:hint="eastAsia" w:ascii="仿宋" w:hAnsi="仿宋" w:eastAsia="仿宋" w:cs="仿宋"/>
                <w:color w:val="auto"/>
                <w:szCs w:val="32"/>
                <w:lang w:eastAsia="zh-CN"/>
              </w:rPr>
              <w:t>正科级</w:t>
            </w:r>
          </w:p>
        </w:tc>
        <w:tc>
          <w:tcPr>
            <w:tcW w:w="3201" w:type="dxa"/>
            <w:tcBorders>
              <w:top w:val="single" w:color="000000" w:sz="6" w:space="0"/>
              <w:left w:val="single" w:color="000000" w:sz="6" w:space="0"/>
              <w:bottom w:val="single" w:color="000000" w:sz="6" w:space="0"/>
              <w:right w:val="single" w:color="000000" w:sz="6" w:space="0"/>
            </w:tcBorders>
          </w:tcPr>
          <w:p>
            <w:pPr>
              <w:spacing w:after="0" w:line="259" w:lineRule="auto"/>
              <w:ind w:left="0" w:leftChars="0" w:firstLine="0" w:firstLineChars="0"/>
              <w:rPr>
                <w:rFonts w:hint="eastAsia" w:ascii="仿宋" w:hAnsi="仿宋" w:eastAsia="仿宋" w:cs="仿宋"/>
                <w:color w:val="auto"/>
                <w:szCs w:val="32"/>
                <w:lang w:eastAsia="zh-CN"/>
              </w:rPr>
            </w:pPr>
            <w:r>
              <w:rPr>
                <w:rFonts w:hint="eastAsia" w:ascii="仿宋" w:hAnsi="仿宋" w:eastAsia="仿宋" w:cs="仿宋"/>
                <w:color w:val="auto"/>
                <w:szCs w:val="32"/>
              </w:rPr>
              <w:t>财政性资金基本保</w:t>
            </w:r>
            <w:r>
              <w:rPr>
                <w:rFonts w:hint="eastAsia" w:ascii="仿宋" w:hAnsi="仿宋" w:eastAsia="仿宋" w:cs="仿宋"/>
                <w:color w:val="auto"/>
                <w:szCs w:val="32"/>
                <w:lang w:eastAsia="zh-CN"/>
              </w:rPr>
              <w:t>证</w:t>
            </w:r>
          </w:p>
        </w:tc>
      </w:tr>
    </w:tbl>
    <w:p>
      <w:pPr>
        <w:spacing w:after="194" w:line="259" w:lineRule="auto"/>
        <w:ind w:left="636" w:right="8665" w:hanging="10"/>
        <w:rPr>
          <w:rFonts w:ascii="黑体" w:hAnsi="黑体" w:eastAsia="黑体"/>
          <w:szCs w:val="32"/>
        </w:rPr>
      </w:pPr>
    </w:p>
    <w:p>
      <w:pPr>
        <w:spacing w:after="194" w:line="259" w:lineRule="auto"/>
        <w:ind w:left="636" w:right="8665" w:hanging="10"/>
        <w:rPr>
          <w:rFonts w:ascii="黑体" w:hAnsi="黑体" w:eastAsia="黑体"/>
          <w:szCs w:val="32"/>
        </w:rPr>
      </w:pPr>
      <w:r>
        <w:rPr>
          <w:rFonts w:ascii="黑体" w:hAnsi="黑体" w:eastAsia="黑体"/>
          <w:szCs w:val="32"/>
        </w:rPr>
        <w:t>二、部门预算安排的总体情况</w:t>
      </w:r>
    </w:p>
    <w:p>
      <w:pPr>
        <w:widowControl w:val="0"/>
        <w:spacing w:after="0"/>
        <w:ind w:left="-15"/>
        <w:rPr>
          <w:rFonts w:ascii="仿宋" w:hAnsi="仿宋" w:eastAsia="仿宋" w:cs="仿宋"/>
          <w:szCs w:val="32"/>
        </w:rPr>
      </w:pPr>
      <w:r>
        <w:rPr>
          <w:rFonts w:hint="eastAsia" w:ascii="仿宋" w:hAnsi="仿宋" w:eastAsia="仿宋" w:cs="仿宋"/>
          <w:szCs w:val="32"/>
        </w:rPr>
        <w:t>秦皇岛市气象局为参照公务员法管理事业单位, 受河北省气象局和市政府双重领导,执行双重计划财务体制。</w:t>
      </w:r>
      <w:r>
        <w:rPr>
          <w:rFonts w:hint="eastAsia" w:ascii="仿宋" w:hAnsi="仿宋" w:eastAsia="仿宋" w:cs="仿宋"/>
          <w:szCs w:val="32"/>
          <w:lang w:eastAsia="zh-CN"/>
        </w:rPr>
        <w:t>我单位下属</w:t>
      </w:r>
      <w:r>
        <w:rPr>
          <w:rFonts w:hint="eastAsia" w:ascii="仿宋_GB2312" w:eastAsia="仿宋_GB2312"/>
          <w:sz w:val="32"/>
          <w:szCs w:val="32"/>
        </w:rPr>
        <w:t>秦皇岛市气象灾害防御中心</w:t>
      </w:r>
      <w:r>
        <w:rPr>
          <w:rFonts w:hint="eastAsia" w:ascii="仿宋_GB2312" w:eastAsia="仿宋_GB2312"/>
          <w:sz w:val="32"/>
          <w:szCs w:val="32"/>
          <w:lang w:eastAsia="zh-CN"/>
        </w:rPr>
        <w:t>是</w:t>
      </w:r>
      <w:r>
        <w:rPr>
          <w:rFonts w:hint="eastAsia" w:ascii="仿宋_GB2312" w:eastAsia="仿宋_GB2312"/>
          <w:sz w:val="32"/>
          <w:szCs w:val="32"/>
        </w:rPr>
        <w:t>财政性资金基本保证经费事业单位，为市政府办公厅所属,机构规格科级,受市政府办公厅和市气象局双重领导</w:t>
      </w:r>
      <w:r>
        <w:rPr>
          <w:rFonts w:hint="eastAsia" w:ascii="仿宋_GB2312" w:eastAsia="仿宋_GB2312"/>
          <w:sz w:val="32"/>
          <w:szCs w:val="32"/>
          <w:lang w:eastAsia="zh-CN"/>
        </w:rPr>
        <w:t>。</w:t>
      </w:r>
      <w:r>
        <w:rPr>
          <w:rFonts w:hint="eastAsia" w:ascii="仿宋" w:hAnsi="仿宋" w:eastAsia="仿宋" w:cs="仿宋"/>
          <w:szCs w:val="32"/>
        </w:rPr>
        <w:t>此部门预算反映秦皇岛市气象局</w:t>
      </w:r>
      <w:r>
        <w:rPr>
          <w:rFonts w:hint="eastAsia" w:ascii="仿宋" w:hAnsi="仿宋" w:eastAsia="仿宋" w:cs="仿宋"/>
          <w:szCs w:val="32"/>
          <w:lang w:eastAsia="zh-CN"/>
        </w:rPr>
        <w:t>及秦皇岛市气象灾害防御中心的</w:t>
      </w:r>
      <w:r>
        <w:rPr>
          <w:rFonts w:hint="eastAsia" w:ascii="仿宋" w:hAnsi="仿宋" w:eastAsia="仿宋" w:cs="仿宋"/>
          <w:szCs w:val="32"/>
        </w:rPr>
        <w:t>地方财政拨款收支。</w:t>
      </w:r>
    </w:p>
    <w:p>
      <w:pPr>
        <w:widowControl w:val="0"/>
        <w:numPr>
          <w:ilvl w:val="0"/>
          <w:numId w:val="0"/>
        </w:numPr>
        <w:spacing w:after="0" w:line="259" w:lineRule="auto"/>
        <w:ind w:left="641" w:leftChars="0"/>
        <w:rPr>
          <w:rFonts w:ascii="仿宋" w:hAnsi="仿宋" w:eastAsia="仿宋" w:cs="仿宋"/>
          <w:szCs w:val="32"/>
        </w:rPr>
      </w:pPr>
      <w:r>
        <w:rPr>
          <w:rFonts w:hint="eastAsia" w:ascii="仿宋" w:hAnsi="仿宋" w:eastAsia="仿宋" w:cs="仿宋"/>
          <w:szCs w:val="32"/>
          <w:lang w:val="en-US" w:eastAsia="zh-CN"/>
        </w:rPr>
        <w:t>1.</w:t>
      </w:r>
      <w:r>
        <w:rPr>
          <w:rFonts w:hint="eastAsia" w:ascii="仿宋" w:hAnsi="仿宋" w:eastAsia="仿宋" w:cs="仿宋"/>
          <w:szCs w:val="32"/>
        </w:rPr>
        <w:t>收入说明</w:t>
      </w:r>
    </w:p>
    <w:p>
      <w:pPr>
        <w:widowControl w:val="0"/>
        <w:spacing w:after="0"/>
        <w:ind w:left="-15"/>
        <w:rPr>
          <w:rFonts w:ascii="仿宋" w:hAnsi="仿宋" w:eastAsia="仿宋" w:cs="仿宋"/>
          <w:szCs w:val="32"/>
        </w:rPr>
      </w:pPr>
      <w:r>
        <w:rPr>
          <w:rFonts w:hint="eastAsia" w:ascii="仿宋" w:hAnsi="仿宋" w:eastAsia="仿宋" w:cs="仿宋"/>
          <w:szCs w:val="32"/>
        </w:rPr>
        <w:t>反映本部门当年地方财政拨款收入。</w:t>
      </w:r>
      <w:r>
        <w:rPr>
          <w:rFonts w:hint="eastAsia" w:ascii="仿宋" w:hAnsi="仿宋" w:eastAsia="仿宋" w:cs="仿宋"/>
          <w:bCs/>
          <w:szCs w:val="32"/>
        </w:rPr>
        <w:t>本部门一般公共预算拨款收入</w:t>
      </w:r>
      <w:r>
        <w:rPr>
          <w:rFonts w:hint="eastAsia" w:ascii="仿宋" w:hAnsi="仿宋" w:eastAsia="仿宋" w:cs="仿宋"/>
          <w:bCs/>
          <w:szCs w:val="32"/>
          <w:lang w:val="en-US" w:eastAsia="zh-CN"/>
        </w:rPr>
        <w:t>877.57</w:t>
      </w:r>
      <w:r>
        <w:rPr>
          <w:rFonts w:hint="eastAsia" w:ascii="仿宋" w:hAnsi="仿宋" w:eastAsia="仿宋" w:cs="仿宋"/>
          <w:bCs/>
          <w:szCs w:val="32"/>
        </w:rPr>
        <w:t>万元，其中：本年一般公共预算拨款收入</w:t>
      </w:r>
      <w:r>
        <w:rPr>
          <w:rFonts w:hint="eastAsia" w:ascii="仿宋" w:hAnsi="仿宋" w:eastAsia="仿宋" w:cs="仿宋"/>
          <w:bCs/>
          <w:szCs w:val="32"/>
          <w:lang w:val="en-US" w:eastAsia="zh-CN"/>
        </w:rPr>
        <w:t>877.57</w:t>
      </w:r>
      <w:r>
        <w:rPr>
          <w:rFonts w:hint="eastAsia" w:ascii="仿宋" w:hAnsi="仿宋" w:eastAsia="仿宋" w:cs="仿宋"/>
          <w:bCs/>
          <w:szCs w:val="32"/>
        </w:rPr>
        <w:t>万元，均为非限额补助，年初财政拨款结转0万元</w:t>
      </w:r>
      <w:bookmarkStart w:id="0" w:name="_Toc440390083"/>
      <w:r>
        <w:rPr>
          <w:rFonts w:hint="eastAsia" w:ascii="仿宋" w:hAnsi="仿宋" w:eastAsia="仿宋" w:cs="仿宋"/>
          <w:bCs/>
          <w:szCs w:val="32"/>
        </w:rPr>
        <w:t>。</w:t>
      </w:r>
      <w:bookmarkEnd w:id="0"/>
    </w:p>
    <w:p>
      <w:pPr>
        <w:widowControl w:val="0"/>
        <w:numPr>
          <w:ilvl w:val="0"/>
          <w:numId w:val="0"/>
        </w:numPr>
        <w:spacing w:after="0" w:line="259" w:lineRule="auto"/>
        <w:ind w:left="641" w:leftChars="0"/>
        <w:rPr>
          <w:rFonts w:ascii="仿宋" w:hAnsi="仿宋" w:eastAsia="仿宋" w:cs="仿宋"/>
          <w:szCs w:val="32"/>
        </w:rPr>
      </w:pPr>
      <w:r>
        <w:rPr>
          <w:rFonts w:hint="eastAsia" w:ascii="仿宋" w:hAnsi="仿宋" w:eastAsia="仿宋" w:cs="仿宋"/>
          <w:szCs w:val="32"/>
          <w:lang w:val="en-US" w:eastAsia="zh-CN"/>
        </w:rPr>
        <w:t>2.</w:t>
      </w:r>
      <w:r>
        <w:rPr>
          <w:rFonts w:hint="eastAsia" w:ascii="仿宋" w:hAnsi="仿宋" w:eastAsia="仿宋" w:cs="仿宋"/>
          <w:szCs w:val="32"/>
        </w:rPr>
        <w:t>支出说明</w:t>
      </w:r>
    </w:p>
    <w:p>
      <w:pPr>
        <w:widowControl w:val="0"/>
        <w:spacing w:after="0"/>
        <w:ind w:left="-15" w:right="296" w:firstLine="631"/>
        <w:jc w:val="both"/>
        <w:rPr>
          <w:rFonts w:ascii="仿宋" w:hAnsi="仿宋" w:eastAsia="仿宋" w:cs="仿宋"/>
          <w:szCs w:val="32"/>
        </w:rPr>
      </w:pPr>
      <w:r>
        <w:rPr>
          <w:rFonts w:hint="eastAsia" w:ascii="仿宋" w:hAnsi="仿宋" w:eastAsia="仿宋" w:cs="仿宋"/>
          <w:szCs w:val="32"/>
        </w:rPr>
        <w:t>收支预算总表支出栏、基本支出表、项目支出表按经济分类和支出功能分类科目编制，反映秦皇岛市气象局年度部门预算中支出预算的总体情况。20</w:t>
      </w:r>
      <w:r>
        <w:rPr>
          <w:rFonts w:hint="eastAsia" w:ascii="仿宋" w:hAnsi="仿宋" w:eastAsia="仿宋" w:cs="仿宋"/>
          <w:szCs w:val="32"/>
          <w:lang w:val="en-US" w:eastAsia="zh-CN"/>
        </w:rPr>
        <w:t>20</w:t>
      </w:r>
      <w:r>
        <w:rPr>
          <w:rFonts w:hint="eastAsia" w:ascii="仿宋" w:hAnsi="仿宋" w:eastAsia="仿宋" w:cs="仿宋"/>
          <w:szCs w:val="32"/>
        </w:rPr>
        <w:t>年支出预算</w:t>
      </w:r>
      <w:r>
        <w:rPr>
          <w:rFonts w:hint="eastAsia" w:ascii="仿宋" w:hAnsi="仿宋" w:eastAsia="仿宋" w:cs="仿宋"/>
          <w:bCs/>
          <w:szCs w:val="32"/>
          <w:lang w:val="en-US" w:eastAsia="zh-CN"/>
        </w:rPr>
        <w:t>877.57</w:t>
      </w:r>
      <w:r>
        <w:rPr>
          <w:rFonts w:hint="eastAsia" w:ascii="仿宋" w:hAnsi="仿宋" w:eastAsia="仿宋" w:cs="仿宋"/>
          <w:szCs w:val="32"/>
        </w:rPr>
        <w:t>万元，其中基本支出</w:t>
      </w:r>
      <w:r>
        <w:rPr>
          <w:rFonts w:hint="eastAsia" w:ascii="仿宋" w:hAnsi="仿宋" w:eastAsia="仿宋" w:cs="仿宋"/>
          <w:bCs/>
          <w:szCs w:val="32"/>
          <w:lang w:val="en-US" w:eastAsia="zh-CN"/>
        </w:rPr>
        <w:t>654.57</w:t>
      </w:r>
      <w:r>
        <w:rPr>
          <w:rFonts w:hint="eastAsia" w:ascii="仿宋" w:hAnsi="仿宋" w:eastAsia="仿宋" w:cs="仿宋"/>
          <w:szCs w:val="32"/>
        </w:rPr>
        <w:t>万元，包括人员经费和日常公用经费；项目支出</w:t>
      </w:r>
      <w:r>
        <w:rPr>
          <w:rFonts w:hint="eastAsia" w:ascii="仿宋" w:hAnsi="仿宋" w:eastAsia="仿宋" w:cs="仿宋"/>
          <w:bCs/>
          <w:szCs w:val="32"/>
          <w:lang w:val="en-US" w:eastAsia="zh-CN"/>
        </w:rPr>
        <w:t>223</w:t>
      </w:r>
      <w:r>
        <w:rPr>
          <w:rFonts w:hint="eastAsia" w:ascii="仿宋" w:hAnsi="仿宋" w:eastAsia="仿宋" w:cs="仿宋"/>
          <w:szCs w:val="32"/>
        </w:rPr>
        <w:t>万元，全部为</w:t>
      </w:r>
      <w:r>
        <w:rPr>
          <w:rFonts w:hint="eastAsia" w:ascii="仿宋" w:hAnsi="仿宋" w:eastAsia="仿宋" w:cs="仿宋"/>
          <w:szCs w:val="32"/>
          <w:lang w:eastAsia="zh-CN"/>
        </w:rPr>
        <w:t>气象局</w:t>
      </w:r>
      <w:r>
        <w:rPr>
          <w:rFonts w:hint="eastAsia" w:ascii="仿宋" w:hAnsi="仿宋" w:eastAsia="仿宋" w:cs="仿宋"/>
          <w:szCs w:val="32"/>
        </w:rPr>
        <w:t>本级支出，主要为人工影响天气专项资金1</w:t>
      </w:r>
      <w:r>
        <w:rPr>
          <w:rFonts w:hint="eastAsia" w:ascii="仿宋" w:hAnsi="仿宋" w:eastAsia="仿宋" w:cs="仿宋"/>
          <w:szCs w:val="32"/>
          <w:lang w:val="en-US" w:eastAsia="zh-CN"/>
        </w:rPr>
        <w:t>3</w:t>
      </w:r>
      <w:r>
        <w:rPr>
          <w:rFonts w:hint="eastAsia" w:ascii="仿宋" w:hAnsi="仿宋" w:eastAsia="仿宋" w:cs="仿宋"/>
          <w:szCs w:val="32"/>
        </w:rPr>
        <w:t>0万元、两要素区域自动气象站升级改造</w:t>
      </w:r>
      <w:r>
        <w:rPr>
          <w:rFonts w:hint="eastAsia" w:ascii="仿宋" w:hAnsi="仿宋" w:eastAsia="仿宋" w:cs="仿宋"/>
          <w:szCs w:val="32"/>
          <w:lang w:val="en-US" w:eastAsia="zh-CN"/>
        </w:rPr>
        <w:t>13</w:t>
      </w:r>
      <w:r>
        <w:rPr>
          <w:rFonts w:hint="eastAsia" w:ascii="仿宋" w:hAnsi="仿宋" w:eastAsia="仿宋" w:cs="仿宋"/>
          <w:szCs w:val="32"/>
        </w:rPr>
        <w:t>万元、电视台播出天气预报</w:t>
      </w:r>
      <w:r>
        <w:rPr>
          <w:rFonts w:hint="eastAsia" w:ascii="仿宋" w:hAnsi="仿宋" w:eastAsia="仿宋" w:cs="仿宋"/>
          <w:szCs w:val="32"/>
          <w:lang w:eastAsia="zh-CN"/>
        </w:rPr>
        <w:t>持续</w:t>
      </w:r>
      <w:r>
        <w:rPr>
          <w:rFonts w:hint="eastAsia" w:ascii="仿宋" w:hAnsi="仿宋" w:eastAsia="仿宋" w:cs="仿宋"/>
          <w:szCs w:val="32"/>
        </w:rPr>
        <w:t>费</w:t>
      </w:r>
      <w:r>
        <w:rPr>
          <w:rFonts w:hint="eastAsia" w:ascii="仿宋" w:hAnsi="仿宋" w:eastAsia="仿宋" w:cs="仿宋"/>
          <w:szCs w:val="32"/>
          <w:lang w:val="en-US" w:eastAsia="zh-CN"/>
        </w:rPr>
        <w:t>15</w:t>
      </w:r>
      <w:r>
        <w:rPr>
          <w:rFonts w:hint="eastAsia" w:ascii="仿宋" w:hAnsi="仿宋" w:eastAsia="仿宋" w:cs="仿宋"/>
          <w:szCs w:val="32"/>
        </w:rPr>
        <w:t>万元、气象灾害防御与防雷许可委托经费</w:t>
      </w:r>
      <w:r>
        <w:rPr>
          <w:rFonts w:hint="eastAsia" w:ascii="仿宋" w:hAnsi="仿宋" w:eastAsia="仿宋" w:cs="仿宋"/>
          <w:szCs w:val="32"/>
          <w:lang w:val="en-US" w:eastAsia="zh-CN"/>
        </w:rPr>
        <w:t>35</w:t>
      </w:r>
      <w:r>
        <w:rPr>
          <w:rFonts w:hint="eastAsia" w:ascii="仿宋" w:hAnsi="仿宋" w:eastAsia="仿宋" w:cs="仿宋"/>
          <w:szCs w:val="32"/>
        </w:rPr>
        <w:t>万元、气象综合管理经费</w:t>
      </w:r>
      <w:r>
        <w:rPr>
          <w:rFonts w:hint="eastAsia" w:ascii="仿宋" w:hAnsi="仿宋" w:eastAsia="仿宋" w:cs="仿宋"/>
          <w:szCs w:val="32"/>
          <w:lang w:val="en-US" w:eastAsia="zh-CN"/>
        </w:rPr>
        <w:t>30</w:t>
      </w:r>
      <w:r>
        <w:rPr>
          <w:rFonts w:hint="eastAsia" w:ascii="仿宋" w:hAnsi="仿宋" w:eastAsia="仿宋" w:cs="仿宋"/>
          <w:szCs w:val="32"/>
        </w:rPr>
        <w:t>万元。</w:t>
      </w:r>
    </w:p>
    <w:p>
      <w:pPr>
        <w:widowControl w:val="0"/>
        <w:numPr>
          <w:ilvl w:val="0"/>
          <w:numId w:val="0"/>
        </w:numPr>
        <w:spacing w:after="0" w:line="259" w:lineRule="auto"/>
        <w:ind w:left="641" w:leftChars="0"/>
        <w:rPr>
          <w:rFonts w:ascii="仿宋" w:hAnsi="仿宋" w:eastAsia="仿宋" w:cs="仿宋"/>
          <w:szCs w:val="32"/>
        </w:rPr>
      </w:pPr>
      <w:r>
        <w:rPr>
          <w:rFonts w:hint="eastAsia" w:ascii="仿宋" w:hAnsi="仿宋" w:eastAsia="仿宋" w:cs="仿宋"/>
          <w:szCs w:val="32"/>
          <w:lang w:val="en-US" w:eastAsia="zh-CN"/>
        </w:rPr>
        <w:t>3.</w:t>
      </w:r>
      <w:r>
        <w:rPr>
          <w:rFonts w:hint="eastAsia" w:ascii="仿宋" w:hAnsi="仿宋" w:eastAsia="仿宋" w:cs="仿宋"/>
          <w:szCs w:val="32"/>
        </w:rPr>
        <w:t>比上年增减情况</w:t>
      </w:r>
    </w:p>
    <w:p>
      <w:pPr>
        <w:widowControl w:val="0"/>
        <w:spacing w:after="0"/>
        <w:ind w:left="-15" w:right="296" w:firstLine="631"/>
        <w:jc w:val="both"/>
        <w:rPr>
          <w:rFonts w:ascii="仿宋" w:hAnsi="仿宋" w:eastAsia="仿宋" w:cs="仿宋"/>
          <w:color w:val="auto"/>
          <w:szCs w:val="32"/>
        </w:rPr>
      </w:pPr>
      <w:r>
        <w:rPr>
          <w:rFonts w:hint="eastAsia" w:ascii="仿宋" w:hAnsi="仿宋" w:eastAsia="仿宋" w:cs="仿宋"/>
          <w:szCs w:val="32"/>
        </w:rPr>
        <w:t>20</w:t>
      </w:r>
      <w:r>
        <w:rPr>
          <w:rFonts w:hint="eastAsia" w:ascii="仿宋" w:hAnsi="仿宋" w:eastAsia="仿宋" w:cs="仿宋"/>
          <w:szCs w:val="32"/>
          <w:lang w:val="en-US" w:eastAsia="zh-CN"/>
        </w:rPr>
        <w:t>20</w:t>
      </w:r>
      <w:r>
        <w:rPr>
          <w:rFonts w:hint="eastAsia" w:ascii="仿宋" w:hAnsi="仿宋" w:eastAsia="仿宋" w:cs="仿宋"/>
          <w:szCs w:val="32"/>
        </w:rPr>
        <w:t>年预算收支安排</w:t>
      </w:r>
      <w:r>
        <w:rPr>
          <w:rFonts w:hint="eastAsia" w:ascii="仿宋" w:hAnsi="仿宋" w:eastAsia="仿宋" w:cs="仿宋"/>
          <w:bCs/>
          <w:szCs w:val="32"/>
          <w:lang w:val="en-US" w:eastAsia="zh-CN"/>
        </w:rPr>
        <w:t>877.57</w:t>
      </w:r>
      <w:r>
        <w:rPr>
          <w:rFonts w:hint="eastAsia" w:ascii="仿宋" w:hAnsi="仿宋" w:eastAsia="仿宋" w:cs="仿宋"/>
          <w:szCs w:val="32"/>
        </w:rPr>
        <w:t>万元，较201</w:t>
      </w:r>
      <w:r>
        <w:rPr>
          <w:rFonts w:hint="eastAsia" w:ascii="仿宋" w:hAnsi="仿宋" w:eastAsia="仿宋" w:cs="仿宋"/>
          <w:szCs w:val="32"/>
          <w:lang w:val="en-US" w:eastAsia="zh-CN"/>
        </w:rPr>
        <w:t>9</w:t>
      </w:r>
      <w:r>
        <w:rPr>
          <w:rFonts w:hint="eastAsia" w:ascii="仿宋" w:hAnsi="仿宋" w:eastAsia="仿宋" w:cs="仿宋"/>
          <w:szCs w:val="32"/>
        </w:rPr>
        <w:t>年</w:t>
      </w:r>
      <w:r>
        <w:rPr>
          <w:rFonts w:hint="eastAsia" w:ascii="仿宋" w:hAnsi="仿宋" w:eastAsia="仿宋" w:cs="仿宋"/>
          <w:color w:val="auto"/>
          <w:szCs w:val="32"/>
        </w:rPr>
        <w:t>预算</w:t>
      </w:r>
      <w:r>
        <w:rPr>
          <w:rFonts w:hint="eastAsia" w:ascii="仿宋" w:hAnsi="仿宋" w:eastAsia="仿宋" w:cs="仿宋"/>
          <w:color w:val="auto"/>
          <w:szCs w:val="32"/>
          <w:lang w:eastAsia="zh-CN"/>
        </w:rPr>
        <w:t>减少</w:t>
      </w:r>
      <w:r>
        <w:rPr>
          <w:rFonts w:hint="eastAsia" w:ascii="仿宋" w:hAnsi="仿宋" w:eastAsia="仿宋" w:cs="仿宋"/>
          <w:color w:val="auto"/>
          <w:szCs w:val="32"/>
          <w:lang w:val="en-US" w:eastAsia="zh-CN"/>
        </w:rPr>
        <w:t>85.79</w:t>
      </w:r>
      <w:r>
        <w:rPr>
          <w:rFonts w:hint="eastAsia" w:ascii="仿宋" w:hAnsi="仿宋" w:eastAsia="仿宋" w:cs="仿宋"/>
          <w:color w:val="auto"/>
          <w:szCs w:val="32"/>
        </w:rPr>
        <w:t>万元，其中：基本支出增加</w:t>
      </w:r>
      <w:r>
        <w:rPr>
          <w:rFonts w:hint="eastAsia" w:ascii="仿宋" w:hAnsi="仿宋" w:eastAsia="仿宋" w:cs="仿宋"/>
          <w:color w:val="auto"/>
          <w:szCs w:val="32"/>
          <w:lang w:val="en-US" w:eastAsia="zh-CN"/>
        </w:rPr>
        <w:t>106.21</w:t>
      </w:r>
      <w:r>
        <w:rPr>
          <w:rFonts w:hint="eastAsia" w:ascii="仿宋" w:hAnsi="仿宋" w:eastAsia="仿宋" w:cs="仿宋"/>
          <w:color w:val="auto"/>
          <w:szCs w:val="32"/>
        </w:rPr>
        <w:t>万元，主要为人员经费增加</w:t>
      </w:r>
      <w:r>
        <w:rPr>
          <w:rFonts w:hint="eastAsia" w:ascii="仿宋" w:hAnsi="仿宋" w:eastAsia="仿宋" w:cs="仿宋"/>
          <w:color w:val="auto"/>
          <w:szCs w:val="32"/>
          <w:lang w:val="en-US" w:eastAsia="zh-CN"/>
        </w:rPr>
        <w:t>107.27</w:t>
      </w:r>
      <w:r>
        <w:rPr>
          <w:rFonts w:hint="eastAsia" w:ascii="仿宋" w:hAnsi="仿宋" w:eastAsia="仿宋" w:cs="仿宋"/>
          <w:color w:val="auto"/>
          <w:szCs w:val="32"/>
        </w:rPr>
        <w:t>万元，日常公用经费</w:t>
      </w:r>
      <w:r>
        <w:rPr>
          <w:rFonts w:hint="eastAsia" w:ascii="仿宋" w:hAnsi="仿宋" w:eastAsia="仿宋" w:cs="仿宋"/>
          <w:color w:val="auto"/>
          <w:szCs w:val="32"/>
          <w:lang w:eastAsia="zh-CN"/>
        </w:rPr>
        <w:t>减少</w:t>
      </w:r>
      <w:r>
        <w:rPr>
          <w:rFonts w:hint="eastAsia" w:ascii="仿宋" w:hAnsi="仿宋" w:eastAsia="仿宋" w:cs="仿宋"/>
          <w:color w:val="auto"/>
          <w:szCs w:val="32"/>
          <w:lang w:val="en-US" w:eastAsia="zh-CN"/>
        </w:rPr>
        <w:t>1.06</w:t>
      </w:r>
      <w:r>
        <w:rPr>
          <w:rFonts w:hint="eastAsia" w:ascii="仿宋" w:hAnsi="仿宋" w:eastAsia="仿宋" w:cs="仿宋"/>
          <w:color w:val="auto"/>
          <w:szCs w:val="32"/>
        </w:rPr>
        <w:t>万元；项目支出</w:t>
      </w:r>
      <w:r>
        <w:rPr>
          <w:rFonts w:hint="eastAsia" w:ascii="仿宋" w:hAnsi="仿宋" w:eastAsia="仿宋" w:cs="仿宋"/>
          <w:color w:val="auto"/>
          <w:szCs w:val="32"/>
          <w:lang w:eastAsia="zh-CN"/>
        </w:rPr>
        <w:t>减少</w:t>
      </w:r>
      <w:r>
        <w:rPr>
          <w:rFonts w:hint="eastAsia" w:ascii="仿宋" w:hAnsi="仿宋" w:eastAsia="仿宋" w:cs="仿宋"/>
          <w:color w:val="auto"/>
          <w:szCs w:val="32"/>
          <w:lang w:val="en-US" w:eastAsia="zh-CN"/>
        </w:rPr>
        <w:t>192</w:t>
      </w:r>
      <w:r>
        <w:rPr>
          <w:rFonts w:hint="eastAsia" w:ascii="仿宋" w:hAnsi="仿宋" w:eastAsia="仿宋" w:cs="仿宋"/>
          <w:color w:val="auto"/>
          <w:szCs w:val="32"/>
        </w:rPr>
        <w:t>万元，主要为</w:t>
      </w:r>
      <w:r>
        <w:rPr>
          <w:rFonts w:hint="eastAsia" w:ascii="仿宋" w:hAnsi="仿宋" w:eastAsia="仿宋" w:cs="仿宋"/>
          <w:szCs w:val="32"/>
        </w:rPr>
        <w:t>人工影响天气专项资金</w:t>
      </w:r>
      <w:r>
        <w:rPr>
          <w:rFonts w:hint="eastAsia" w:ascii="仿宋" w:hAnsi="仿宋" w:eastAsia="仿宋" w:cs="仿宋"/>
          <w:szCs w:val="32"/>
          <w:lang w:eastAsia="zh-CN"/>
        </w:rPr>
        <w:t>减少</w:t>
      </w:r>
      <w:r>
        <w:rPr>
          <w:rFonts w:hint="eastAsia" w:ascii="仿宋" w:hAnsi="仿宋" w:eastAsia="仿宋" w:cs="仿宋"/>
          <w:szCs w:val="32"/>
          <w:lang w:val="en-US" w:eastAsia="zh-CN"/>
        </w:rPr>
        <w:t>20万元、</w:t>
      </w:r>
      <w:r>
        <w:rPr>
          <w:rFonts w:hint="eastAsia" w:ascii="仿宋" w:hAnsi="仿宋" w:eastAsia="仿宋" w:cs="仿宋"/>
          <w:szCs w:val="32"/>
        </w:rPr>
        <w:t>两要素区域自动气象站升级改造</w:t>
      </w:r>
      <w:r>
        <w:rPr>
          <w:rFonts w:hint="eastAsia" w:ascii="仿宋" w:hAnsi="仿宋" w:eastAsia="仿宋" w:cs="仿宋"/>
          <w:szCs w:val="32"/>
          <w:lang w:eastAsia="zh-CN"/>
        </w:rPr>
        <w:t>减少</w:t>
      </w:r>
      <w:r>
        <w:rPr>
          <w:rFonts w:hint="eastAsia" w:ascii="仿宋" w:hAnsi="仿宋" w:eastAsia="仿宋" w:cs="仿宋"/>
          <w:szCs w:val="32"/>
          <w:lang w:val="en-US" w:eastAsia="zh-CN"/>
        </w:rPr>
        <w:t>67万元、</w:t>
      </w:r>
      <w:r>
        <w:rPr>
          <w:rFonts w:hint="eastAsia" w:ascii="仿宋" w:hAnsi="仿宋" w:eastAsia="仿宋" w:cs="仿宋"/>
          <w:color w:val="auto"/>
          <w:szCs w:val="32"/>
        </w:rPr>
        <w:t>中央电视台播出天气预报</w:t>
      </w:r>
      <w:r>
        <w:rPr>
          <w:rFonts w:hint="eastAsia" w:ascii="仿宋" w:hAnsi="仿宋" w:eastAsia="仿宋" w:cs="仿宋"/>
          <w:color w:val="auto"/>
          <w:szCs w:val="32"/>
          <w:lang w:eastAsia="zh-CN"/>
        </w:rPr>
        <w:t>持续</w:t>
      </w:r>
      <w:r>
        <w:rPr>
          <w:rFonts w:hint="eastAsia" w:ascii="仿宋" w:hAnsi="仿宋" w:eastAsia="仿宋" w:cs="仿宋"/>
          <w:color w:val="auto"/>
          <w:szCs w:val="32"/>
        </w:rPr>
        <w:t>费</w:t>
      </w:r>
      <w:r>
        <w:rPr>
          <w:rFonts w:hint="eastAsia" w:ascii="仿宋" w:hAnsi="仿宋" w:eastAsia="仿宋" w:cs="仿宋"/>
          <w:color w:val="auto"/>
          <w:szCs w:val="32"/>
          <w:lang w:eastAsia="zh-CN"/>
        </w:rPr>
        <w:t>减少</w:t>
      </w:r>
      <w:r>
        <w:rPr>
          <w:rFonts w:hint="eastAsia" w:ascii="仿宋" w:hAnsi="仿宋" w:eastAsia="仿宋" w:cs="仿宋"/>
          <w:color w:val="auto"/>
          <w:szCs w:val="32"/>
          <w:lang w:val="en-US" w:eastAsia="zh-CN"/>
        </w:rPr>
        <w:t>100</w:t>
      </w:r>
      <w:r>
        <w:rPr>
          <w:rFonts w:hint="eastAsia" w:ascii="仿宋" w:hAnsi="仿宋" w:eastAsia="仿宋" w:cs="仿宋"/>
          <w:color w:val="auto"/>
          <w:szCs w:val="32"/>
        </w:rPr>
        <w:t>万元，气象灾害防御与防雷许可委托经费减少</w:t>
      </w:r>
      <w:r>
        <w:rPr>
          <w:rFonts w:hint="eastAsia" w:ascii="仿宋" w:hAnsi="仿宋" w:eastAsia="仿宋" w:cs="仿宋"/>
          <w:color w:val="auto"/>
          <w:szCs w:val="32"/>
          <w:lang w:val="en-US" w:eastAsia="zh-CN"/>
        </w:rPr>
        <w:t>5</w:t>
      </w:r>
      <w:r>
        <w:rPr>
          <w:rFonts w:hint="eastAsia" w:ascii="仿宋" w:hAnsi="仿宋" w:eastAsia="仿宋" w:cs="仿宋"/>
          <w:color w:val="auto"/>
          <w:szCs w:val="32"/>
        </w:rPr>
        <w:t>万元。</w:t>
      </w:r>
    </w:p>
    <w:p>
      <w:pPr>
        <w:spacing w:after="194" w:line="259" w:lineRule="auto"/>
        <w:ind w:left="637" w:leftChars="199" w:right="8665" w:firstLine="160" w:firstLineChars="50"/>
        <w:rPr>
          <w:rFonts w:ascii="黑体" w:hAnsi="黑体" w:eastAsia="黑体"/>
          <w:szCs w:val="32"/>
        </w:rPr>
      </w:pPr>
      <w:r>
        <w:rPr>
          <w:rFonts w:hint="eastAsia" w:ascii="黑体" w:hAnsi="黑体" w:eastAsia="黑体"/>
          <w:szCs w:val="32"/>
        </w:rPr>
        <w:t>三、</w:t>
      </w:r>
      <w:r>
        <w:rPr>
          <w:rFonts w:ascii="黑体" w:hAnsi="黑体" w:eastAsia="黑体"/>
          <w:szCs w:val="32"/>
        </w:rPr>
        <w:t>机关运行经费安排情况</w:t>
      </w:r>
    </w:p>
    <w:p>
      <w:pPr>
        <w:ind w:left="197"/>
        <w:rPr>
          <w:rFonts w:hint="eastAsia" w:ascii="仿宋" w:hAnsi="仿宋" w:eastAsia="仿宋"/>
          <w:szCs w:val="32"/>
          <w:lang w:eastAsia="zh-CN"/>
        </w:rPr>
      </w:pPr>
      <w:r>
        <w:rPr>
          <w:rFonts w:ascii="仿宋" w:hAnsi="仿宋" w:eastAsia="仿宋"/>
          <w:szCs w:val="32"/>
        </w:rPr>
        <w:t>机关运行经费共计安排</w:t>
      </w:r>
      <w:r>
        <w:rPr>
          <w:rFonts w:hint="eastAsia" w:ascii="仿宋" w:hAnsi="仿宋" w:eastAsia="仿宋" w:cs="Times New Roman"/>
          <w:szCs w:val="32"/>
          <w:lang w:val="en-US" w:eastAsia="zh-CN"/>
        </w:rPr>
        <w:t>24.80</w:t>
      </w:r>
      <w:r>
        <w:rPr>
          <w:rFonts w:ascii="仿宋" w:hAnsi="仿宋" w:eastAsia="仿宋"/>
          <w:szCs w:val="32"/>
        </w:rPr>
        <w:t>万元，主要用于</w:t>
      </w:r>
      <w:r>
        <w:rPr>
          <w:rFonts w:hint="eastAsia" w:ascii="仿宋" w:hAnsi="仿宋" w:eastAsia="仿宋"/>
          <w:szCs w:val="32"/>
          <w:lang w:eastAsia="zh-CN"/>
        </w:rPr>
        <w:t>办公费、</w:t>
      </w:r>
      <w:r>
        <w:rPr>
          <w:rFonts w:ascii="仿宋" w:hAnsi="仿宋" w:eastAsia="仿宋"/>
          <w:szCs w:val="32"/>
        </w:rPr>
        <w:t>办公用房水电费、办公用房取暖费、办公用房物业管理费</w:t>
      </w:r>
      <w:r>
        <w:rPr>
          <w:rFonts w:hint="eastAsia" w:ascii="仿宋" w:hAnsi="仿宋" w:eastAsia="仿宋"/>
          <w:szCs w:val="32"/>
          <w:lang w:eastAsia="zh-CN"/>
        </w:rPr>
        <w:t>、差旅费</w:t>
      </w:r>
      <w:r>
        <w:rPr>
          <w:rFonts w:ascii="仿宋" w:hAnsi="仿宋" w:eastAsia="仿宋"/>
          <w:szCs w:val="32"/>
        </w:rPr>
        <w:t>等日常运行支出</w:t>
      </w:r>
      <w:r>
        <w:rPr>
          <w:rFonts w:hint="eastAsia" w:ascii="仿宋" w:hAnsi="仿宋" w:eastAsia="仿宋"/>
          <w:szCs w:val="32"/>
        </w:rPr>
        <w:t>和公务移动通信费用</w:t>
      </w:r>
      <w:r>
        <w:rPr>
          <w:rFonts w:ascii="仿宋" w:hAnsi="仿宋" w:eastAsia="仿宋"/>
          <w:szCs w:val="32"/>
        </w:rPr>
        <w:t>。</w:t>
      </w:r>
      <w:r>
        <w:rPr>
          <w:rFonts w:hint="eastAsia" w:ascii="仿宋" w:hAnsi="仿宋" w:eastAsia="仿宋"/>
          <w:szCs w:val="32"/>
          <w:lang w:eastAsia="zh-CN"/>
        </w:rPr>
        <w:t>支出明细如下：</w:t>
      </w:r>
    </w:p>
    <w:tbl>
      <w:tblPr>
        <w:tblStyle w:val="4"/>
        <w:tblW w:w="3511"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2397"/>
        <w:gridCol w:w="111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83" w:hRule="atLeast"/>
        </w:trPr>
        <w:tc>
          <w:tcPr>
            <w:tcW w:w="23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Autospacing="0"/>
              <w:ind w:left="0" w:right="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项目</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Autospacing="0"/>
              <w:ind w:left="0" w:right="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金额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83" w:hRule="atLeast"/>
        </w:trPr>
        <w:tc>
          <w:tcPr>
            <w:tcW w:w="23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Autospacing="0"/>
              <w:ind w:left="0" w:right="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办公费</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Autospacing="0"/>
              <w:ind w:left="0" w:right="0"/>
              <w:jc w:val="right"/>
              <w:textAlignment w:val="center"/>
              <w:rPr>
                <w:rFonts w:hint="eastAsia" w:ascii="宋体" w:hAnsi="宋体" w:eastAsia="宋体" w:cs="宋体"/>
                <w:i w:val="0"/>
                <w:color w:val="000000"/>
                <w:sz w:val="18"/>
                <w:szCs w:val="18"/>
                <w:u w:val="none"/>
                <w:lang w:val="en-US"/>
              </w:rPr>
            </w:pPr>
            <w:r>
              <w:rPr>
                <w:rFonts w:hint="eastAsia" w:ascii="宋体" w:hAnsi="宋体" w:eastAsia="宋体" w:cs="宋体"/>
                <w:i w:val="0"/>
                <w:color w:val="000000"/>
                <w:kern w:val="0"/>
                <w:sz w:val="18"/>
                <w:szCs w:val="18"/>
                <w:u w:val="none"/>
                <w:lang w:val="en-US" w:eastAsia="zh-CN" w:bidi="ar"/>
              </w:rPr>
              <w:t>0.28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83" w:hRule="atLeast"/>
        </w:trPr>
        <w:tc>
          <w:tcPr>
            <w:tcW w:w="23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Autospacing="0"/>
              <w:ind w:left="0" w:right="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水费</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Autospacing="0"/>
              <w:ind w:left="0" w:right="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0.05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83" w:hRule="atLeast"/>
        </w:trPr>
        <w:tc>
          <w:tcPr>
            <w:tcW w:w="23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Autospacing="0"/>
              <w:ind w:left="0" w:right="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电费</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Autospacing="0"/>
              <w:ind w:left="0" w:right="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0.12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83" w:hRule="atLeast"/>
        </w:trPr>
        <w:tc>
          <w:tcPr>
            <w:tcW w:w="23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Autospacing="0"/>
              <w:ind w:left="0" w:right="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邮电费</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Autospacing="0"/>
              <w:ind w:left="0" w:right="0"/>
              <w:jc w:val="right"/>
              <w:textAlignment w:val="center"/>
              <w:rPr>
                <w:rFonts w:hint="eastAsia" w:ascii="宋体" w:hAnsi="宋体" w:eastAsia="宋体" w:cs="宋体"/>
                <w:i w:val="0"/>
                <w:color w:val="000000"/>
                <w:sz w:val="18"/>
                <w:szCs w:val="18"/>
                <w:u w:val="none"/>
                <w:lang w:val="en-US"/>
              </w:rPr>
            </w:pPr>
            <w:r>
              <w:rPr>
                <w:rFonts w:hint="eastAsia" w:ascii="宋体" w:hAnsi="宋体" w:eastAsia="宋体" w:cs="宋体"/>
                <w:i w:val="0"/>
                <w:color w:val="000000"/>
                <w:kern w:val="0"/>
                <w:sz w:val="18"/>
                <w:szCs w:val="18"/>
                <w:u w:val="none"/>
                <w:lang w:val="en-US" w:eastAsia="zh-CN" w:bidi="ar"/>
              </w:rPr>
              <w:t>9.63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83" w:hRule="atLeast"/>
        </w:trPr>
        <w:tc>
          <w:tcPr>
            <w:tcW w:w="23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Autospacing="0"/>
              <w:ind w:left="0" w:right="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  1）公务移动通讯费用补贴 </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Autospacing="0"/>
              <w:ind w:left="0" w:right="0"/>
              <w:jc w:val="right"/>
              <w:textAlignment w:val="center"/>
              <w:rPr>
                <w:rFonts w:hint="eastAsia" w:ascii="宋体" w:hAnsi="宋体" w:eastAsia="宋体" w:cs="宋体"/>
                <w:i w:val="0"/>
                <w:color w:val="000000"/>
                <w:sz w:val="18"/>
                <w:szCs w:val="18"/>
                <w:u w:val="none"/>
                <w:lang w:val="en-US"/>
              </w:rPr>
            </w:pPr>
            <w:r>
              <w:rPr>
                <w:rFonts w:hint="eastAsia" w:ascii="宋体" w:hAnsi="宋体" w:eastAsia="宋体" w:cs="宋体"/>
                <w:i w:val="0"/>
                <w:color w:val="000000"/>
                <w:kern w:val="0"/>
                <w:sz w:val="18"/>
                <w:szCs w:val="18"/>
                <w:u w:val="none"/>
                <w:lang w:val="en-US" w:eastAsia="zh-CN" w:bidi="ar"/>
              </w:rPr>
              <w:t>9.47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83" w:hRule="atLeast"/>
        </w:trPr>
        <w:tc>
          <w:tcPr>
            <w:tcW w:w="23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Autospacing="0"/>
              <w:ind w:left="0" w:right="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  2）其他邮电费</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Autospacing="0"/>
              <w:ind w:left="0" w:right="0"/>
              <w:jc w:val="right"/>
              <w:textAlignment w:val="center"/>
              <w:rPr>
                <w:rFonts w:hint="eastAsia" w:ascii="宋体" w:hAnsi="宋体" w:eastAsia="宋体" w:cs="宋体"/>
                <w:i w:val="0"/>
                <w:color w:val="000000"/>
                <w:sz w:val="18"/>
                <w:szCs w:val="18"/>
                <w:u w:val="none"/>
                <w:lang w:val="en-US"/>
              </w:rPr>
            </w:pPr>
            <w:r>
              <w:rPr>
                <w:rFonts w:hint="eastAsia" w:ascii="宋体" w:hAnsi="宋体" w:eastAsia="宋体" w:cs="宋体"/>
                <w:i w:val="0"/>
                <w:color w:val="000000"/>
                <w:kern w:val="0"/>
                <w:sz w:val="18"/>
                <w:szCs w:val="18"/>
                <w:u w:val="none"/>
                <w:lang w:val="en-US" w:eastAsia="zh-CN" w:bidi="ar"/>
              </w:rPr>
              <w:t>0.16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83" w:hRule="atLeast"/>
        </w:trPr>
        <w:tc>
          <w:tcPr>
            <w:tcW w:w="23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Autospacing="0"/>
              <w:ind w:left="0" w:right="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物业管理费</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Autospacing="0"/>
              <w:ind w:left="0" w:right="0"/>
              <w:jc w:val="right"/>
              <w:textAlignment w:val="center"/>
              <w:rPr>
                <w:rFonts w:hint="eastAsia" w:ascii="宋体" w:hAnsi="宋体" w:eastAsia="宋体" w:cs="宋体"/>
                <w:i w:val="0"/>
                <w:color w:val="000000"/>
                <w:sz w:val="18"/>
                <w:szCs w:val="18"/>
                <w:u w:val="none"/>
                <w:lang w:val="en-US"/>
              </w:rPr>
            </w:pPr>
            <w:r>
              <w:rPr>
                <w:rFonts w:hint="eastAsia" w:ascii="宋体" w:hAnsi="宋体" w:eastAsia="宋体" w:cs="宋体"/>
                <w:i w:val="0"/>
                <w:color w:val="000000"/>
                <w:kern w:val="0"/>
                <w:sz w:val="18"/>
                <w:szCs w:val="18"/>
                <w:u w:val="none"/>
                <w:lang w:val="en-US" w:eastAsia="zh-CN" w:bidi="ar"/>
              </w:rPr>
              <w:t>0.12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83" w:hRule="atLeast"/>
        </w:trPr>
        <w:tc>
          <w:tcPr>
            <w:tcW w:w="23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Autospacing="0"/>
              <w:ind w:left="0" w:right="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差旅费</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Autospacing="0"/>
              <w:ind w:left="0" w:right="0"/>
              <w:jc w:val="right"/>
              <w:textAlignment w:val="center"/>
              <w:rPr>
                <w:rFonts w:hint="eastAsia" w:ascii="宋体" w:hAnsi="宋体" w:eastAsia="宋体" w:cs="宋体"/>
                <w:i w:val="0"/>
                <w:color w:val="000000"/>
                <w:sz w:val="18"/>
                <w:szCs w:val="18"/>
                <w:u w:val="none"/>
                <w:lang w:val="en-US"/>
              </w:rPr>
            </w:pPr>
            <w:r>
              <w:rPr>
                <w:rFonts w:hint="eastAsia" w:ascii="宋体" w:hAnsi="宋体" w:eastAsia="宋体" w:cs="宋体"/>
                <w:i w:val="0"/>
                <w:color w:val="000000"/>
                <w:kern w:val="0"/>
                <w:sz w:val="18"/>
                <w:szCs w:val="18"/>
                <w:u w:val="none"/>
                <w:lang w:val="en-US" w:eastAsia="zh-CN" w:bidi="ar"/>
              </w:rPr>
              <w:t>0.43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83" w:hRule="atLeast"/>
        </w:trPr>
        <w:tc>
          <w:tcPr>
            <w:tcW w:w="23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Autospacing="0"/>
              <w:ind w:left="0" w:right="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维修（护）费</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Autospacing="0"/>
              <w:ind w:left="0" w:right="0"/>
              <w:jc w:val="right"/>
              <w:textAlignment w:val="center"/>
              <w:rPr>
                <w:rFonts w:hint="eastAsia" w:ascii="宋体" w:hAnsi="宋体" w:eastAsia="宋体" w:cs="宋体"/>
                <w:i w:val="0"/>
                <w:color w:val="000000"/>
                <w:sz w:val="18"/>
                <w:szCs w:val="18"/>
                <w:u w:val="none"/>
                <w:lang w:val="en-US"/>
              </w:rPr>
            </w:pPr>
            <w:r>
              <w:rPr>
                <w:rFonts w:hint="eastAsia" w:ascii="宋体" w:hAnsi="宋体" w:eastAsia="宋体" w:cs="宋体"/>
                <w:i w:val="0"/>
                <w:color w:val="000000"/>
                <w:kern w:val="0"/>
                <w:sz w:val="18"/>
                <w:szCs w:val="18"/>
                <w:u w:val="none"/>
                <w:lang w:val="en-US" w:eastAsia="zh-CN" w:bidi="ar"/>
              </w:rPr>
              <w:t>0.05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385" w:hRule="atLeast"/>
        </w:trPr>
        <w:tc>
          <w:tcPr>
            <w:tcW w:w="23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Autospacing="0"/>
              <w:ind w:left="0" w:right="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会议费</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Autospacing="0"/>
              <w:ind w:left="0" w:right="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0.09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386" w:hRule="atLeast"/>
        </w:trPr>
        <w:tc>
          <w:tcPr>
            <w:tcW w:w="23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Autospacing="0"/>
              <w:ind w:left="0" w:right="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办公设备购置费</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Autospacing="0"/>
              <w:ind w:left="0" w:right="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0.03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83" w:hRule="atLeast"/>
        </w:trPr>
        <w:tc>
          <w:tcPr>
            <w:tcW w:w="23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Autospacing="0"/>
              <w:ind w:left="0" w:right="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公务交通补贴</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Autospacing="0"/>
              <w:ind w:left="0" w:right="0"/>
              <w:jc w:val="righ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12.71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83" w:hRule="atLeast"/>
        </w:trPr>
        <w:tc>
          <w:tcPr>
            <w:tcW w:w="23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Autospacing="0"/>
              <w:ind w:left="0" w:right="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印刷费</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Autospacing="0"/>
              <w:ind w:left="0" w:right="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0.03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83" w:hRule="atLeast"/>
        </w:trPr>
        <w:tc>
          <w:tcPr>
            <w:tcW w:w="23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Autospacing="0"/>
              <w:ind w:left="0" w:right="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培训费</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Autospacing="0"/>
              <w:ind w:left="0" w:right="0"/>
              <w:jc w:val="right"/>
              <w:textAlignment w:val="center"/>
              <w:rPr>
                <w:rFonts w:hint="eastAsia" w:ascii="宋体" w:hAnsi="宋体" w:eastAsia="宋体" w:cs="宋体"/>
                <w:i w:val="0"/>
                <w:color w:val="000000"/>
                <w:sz w:val="18"/>
                <w:szCs w:val="18"/>
                <w:u w:val="none"/>
                <w:lang w:val="en-US"/>
              </w:rPr>
            </w:pPr>
            <w:r>
              <w:rPr>
                <w:rFonts w:hint="eastAsia" w:ascii="宋体" w:hAnsi="宋体" w:eastAsia="宋体" w:cs="宋体"/>
                <w:i w:val="0"/>
                <w:color w:val="000000"/>
                <w:kern w:val="0"/>
                <w:sz w:val="18"/>
                <w:szCs w:val="18"/>
                <w:u w:val="none"/>
                <w:lang w:val="en-US" w:eastAsia="zh-CN" w:bidi="ar"/>
              </w:rPr>
              <w:t>0.38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83" w:hRule="atLeast"/>
        </w:trPr>
        <w:tc>
          <w:tcPr>
            <w:tcW w:w="23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Autospacing="0"/>
              <w:ind w:left="0" w:right="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公务接待费</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Autospacing="0"/>
              <w:ind w:left="0" w:right="0"/>
              <w:jc w:val="righ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0.03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83" w:hRule="atLeast"/>
        </w:trPr>
        <w:tc>
          <w:tcPr>
            <w:tcW w:w="23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Autospacing="0"/>
              <w:ind w:left="0" w:right="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工会经费</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Autospacing="0"/>
              <w:ind w:left="0" w:right="0"/>
              <w:jc w:val="right"/>
              <w:textAlignment w:val="center"/>
              <w:rPr>
                <w:rFonts w:hint="eastAsia" w:ascii="宋体" w:hAnsi="宋体" w:eastAsia="宋体" w:cs="宋体"/>
                <w:i w:val="0"/>
                <w:color w:val="000000"/>
                <w:sz w:val="18"/>
                <w:szCs w:val="18"/>
                <w:u w:val="none"/>
                <w:lang w:val="en-US"/>
              </w:rPr>
            </w:pPr>
            <w:r>
              <w:rPr>
                <w:rFonts w:hint="eastAsia" w:ascii="宋体" w:hAnsi="宋体" w:eastAsia="宋体" w:cs="宋体"/>
                <w:i w:val="0"/>
                <w:color w:val="000000"/>
                <w:kern w:val="0"/>
                <w:sz w:val="18"/>
                <w:szCs w:val="18"/>
                <w:u w:val="none"/>
                <w:lang w:val="en-US" w:eastAsia="zh-CN" w:bidi="ar"/>
              </w:rPr>
              <w:t>0.50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83" w:hRule="atLeast"/>
        </w:trPr>
        <w:tc>
          <w:tcPr>
            <w:tcW w:w="23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Autospacing="0"/>
              <w:ind w:left="0" w:right="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在职人员福利费</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Autospacing="0"/>
              <w:ind w:left="0" w:right="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0.27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83" w:hRule="atLeast"/>
        </w:trPr>
        <w:tc>
          <w:tcPr>
            <w:tcW w:w="23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Autospacing="0"/>
              <w:ind w:left="0" w:right="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党组织活动经费</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Autospacing="0"/>
              <w:ind w:left="0" w:right="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0.05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83" w:hRule="atLeast"/>
        </w:trPr>
        <w:tc>
          <w:tcPr>
            <w:tcW w:w="23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Autospacing="0"/>
              <w:ind w:left="0" w:right="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不可预见费</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Autospacing="0"/>
              <w:ind w:left="0" w:right="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0.03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83" w:hRule="atLeast"/>
        </w:trPr>
        <w:tc>
          <w:tcPr>
            <w:tcW w:w="23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Autospacing="0"/>
              <w:ind w:left="0" w:right="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合计</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Autospacing="0"/>
              <w:ind w:left="0" w:right="0"/>
              <w:jc w:val="right"/>
              <w:textAlignment w:val="center"/>
              <w:rPr>
                <w:rFonts w:hint="eastAsia" w:ascii="宋体" w:hAnsi="宋体" w:eastAsia="宋体" w:cs="宋体"/>
                <w:i w:val="0"/>
                <w:color w:val="000000"/>
                <w:sz w:val="18"/>
                <w:szCs w:val="18"/>
                <w:u w:val="none"/>
                <w:lang w:val="en-US"/>
              </w:rPr>
            </w:pPr>
            <w:r>
              <w:rPr>
                <w:rFonts w:hint="eastAsia" w:ascii="宋体" w:hAnsi="宋体" w:eastAsia="宋体" w:cs="宋体"/>
                <w:i w:val="0"/>
                <w:color w:val="000000"/>
                <w:kern w:val="0"/>
                <w:sz w:val="18"/>
                <w:szCs w:val="18"/>
                <w:u w:val="none"/>
                <w:lang w:val="en-US" w:eastAsia="zh-CN" w:bidi="ar"/>
              </w:rPr>
              <w:t>24.80</w:t>
            </w:r>
          </w:p>
        </w:tc>
      </w:tr>
    </w:tbl>
    <w:p>
      <w:pPr>
        <w:ind w:firstLine="793" w:firstLineChars="248"/>
        <w:rPr>
          <w:rFonts w:ascii="黑体" w:hAnsi="黑体" w:eastAsia="黑体"/>
          <w:szCs w:val="32"/>
        </w:rPr>
      </w:pPr>
      <w:r>
        <w:rPr>
          <w:rFonts w:hint="eastAsia" w:ascii="黑体" w:hAnsi="黑体" w:eastAsia="黑体"/>
          <w:szCs w:val="32"/>
        </w:rPr>
        <w:t>四、</w:t>
      </w:r>
      <w:r>
        <w:rPr>
          <w:rFonts w:ascii="黑体" w:hAnsi="黑体" w:eastAsia="黑体"/>
          <w:szCs w:val="32"/>
        </w:rPr>
        <w:t>财政拨款“三公”经费预算情况及增减变化原因</w:t>
      </w:r>
    </w:p>
    <w:p>
      <w:pPr>
        <w:ind w:left="197"/>
        <w:rPr>
          <w:rFonts w:ascii="仿宋" w:hAnsi="仿宋" w:eastAsia="仿宋" w:cs="仿宋"/>
          <w:szCs w:val="32"/>
        </w:rPr>
      </w:pPr>
      <w:r>
        <w:rPr>
          <w:rFonts w:hint="eastAsia" w:ascii="仿宋" w:hAnsi="仿宋" w:eastAsia="仿宋" w:cs="仿宋"/>
          <w:szCs w:val="32"/>
        </w:rPr>
        <w:t>20</w:t>
      </w:r>
      <w:r>
        <w:rPr>
          <w:rFonts w:hint="eastAsia" w:ascii="仿宋" w:hAnsi="仿宋" w:eastAsia="仿宋" w:cs="仿宋"/>
          <w:szCs w:val="32"/>
          <w:lang w:val="en-US" w:eastAsia="zh-CN"/>
        </w:rPr>
        <w:t>20</w:t>
      </w:r>
      <w:r>
        <w:rPr>
          <w:rFonts w:hint="eastAsia" w:ascii="仿宋" w:hAnsi="仿宋" w:eastAsia="仿宋" w:cs="仿宋"/>
          <w:szCs w:val="32"/>
        </w:rPr>
        <w:t>年，我部门地方财政拨款“三公”经费预算安排0</w:t>
      </w:r>
      <w:r>
        <w:rPr>
          <w:rFonts w:hint="eastAsia" w:ascii="仿宋" w:hAnsi="仿宋" w:eastAsia="仿宋" w:cs="仿宋"/>
          <w:szCs w:val="32"/>
          <w:lang w:val="en-US" w:eastAsia="zh-CN"/>
        </w:rPr>
        <w:t>.03</w:t>
      </w:r>
      <w:r>
        <w:rPr>
          <w:rFonts w:hint="eastAsia" w:ascii="仿宋" w:hAnsi="仿宋" w:eastAsia="仿宋" w:cs="仿宋"/>
          <w:szCs w:val="32"/>
        </w:rPr>
        <w:t>万元，其中因公出国（境）费0万元；公务用车购置及运维费0万元（其中：公务用车购置费为0，公务用车运行费0万元)；公务接待费0</w:t>
      </w:r>
      <w:r>
        <w:rPr>
          <w:rFonts w:hint="eastAsia" w:ascii="仿宋" w:hAnsi="仿宋" w:eastAsia="仿宋" w:cs="仿宋"/>
          <w:szCs w:val="32"/>
          <w:lang w:val="en-US" w:eastAsia="zh-CN"/>
        </w:rPr>
        <w:t>.03</w:t>
      </w:r>
      <w:r>
        <w:rPr>
          <w:rFonts w:hint="eastAsia" w:ascii="仿宋" w:hAnsi="仿宋" w:eastAsia="仿宋" w:cs="仿宋"/>
          <w:szCs w:val="32"/>
        </w:rPr>
        <w:t>万元。“三公”</w:t>
      </w:r>
      <w:r>
        <w:rPr>
          <w:rFonts w:hint="eastAsia" w:ascii="仿宋" w:hAnsi="仿宋" w:eastAsia="仿宋" w:cs="仿宋"/>
          <w:szCs w:val="32"/>
          <w:lang w:eastAsia="zh-CN"/>
        </w:rPr>
        <w:t>经费与</w:t>
      </w:r>
      <w:r>
        <w:rPr>
          <w:rFonts w:hint="eastAsia" w:ascii="仿宋" w:hAnsi="仿宋" w:eastAsia="仿宋" w:cs="仿宋"/>
          <w:szCs w:val="32"/>
        </w:rPr>
        <w:t>201</w:t>
      </w:r>
      <w:r>
        <w:rPr>
          <w:rFonts w:hint="eastAsia" w:ascii="仿宋" w:hAnsi="仿宋" w:eastAsia="仿宋" w:cs="仿宋"/>
          <w:szCs w:val="32"/>
          <w:lang w:val="en-US" w:eastAsia="zh-CN"/>
        </w:rPr>
        <w:t>9</w:t>
      </w:r>
      <w:r>
        <w:rPr>
          <w:rFonts w:hint="eastAsia" w:ascii="仿宋" w:hAnsi="仿宋" w:eastAsia="仿宋" w:cs="仿宋"/>
          <w:szCs w:val="32"/>
        </w:rPr>
        <w:t>年</w:t>
      </w:r>
      <w:r>
        <w:rPr>
          <w:rFonts w:hint="eastAsia" w:ascii="仿宋" w:hAnsi="仿宋" w:eastAsia="仿宋" w:cs="仿宋"/>
          <w:szCs w:val="32"/>
          <w:lang w:eastAsia="zh-CN"/>
        </w:rPr>
        <w:t>持平，</w:t>
      </w:r>
      <w:r>
        <w:rPr>
          <w:rFonts w:hint="eastAsia" w:ascii="仿宋" w:hAnsi="仿宋" w:eastAsia="仿宋" w:cs="仿宋"/>
          <w:szCs w:val="32"/>
        </w:rPr>
        <w:t>原因是</w:t>
      </w:r>
      <w:r>
        <w:rPr>
          <w:rFonts w:hint="eastAsia" w:ascii="仿宋" w:hAnsi="仿宋" w:eastAsia="仿宋" w:cs="仿宋"/>
          <w:szCs w:val="32"/>
          <w:lang w:eastAsia="zh-CN"/>
        </w:rPr>
        <w:t>本部门</w:t>
      </w:r>
      <w:r>
        <w:rPr>
          <w:rFonts w:hint="eastAsia" w:ascii="仿宋" w:hAnsi="仿宋" w:eastAsia="仿宋" w:cs="仿宋"/>
          <w:szCs w:val="32"/>
          <w:lang w:val="en-US" w:eastAsia="zh-CN"/>
        </w:rPr>
        <w:t>2020年无</w:t>
      </w:r>
      <w:r>
        <w:rPr>
          <w:rFonts w:hint="eastAsia" w:ascii="仿宋" w:hAnsi="仿宋" w:eastAsia="仿宋" w:cs="仿宋"/>
          <w:szCs w:val="32"/>
        </w:rPr>
        <w:t>因公出国（境）费</w:t>
      </w:r>
      <w:r>
        <w:rPr>
          <w:rFonts w:hint="eastAsia" w:ascii="仿宋" w:hAnsi="仿宋" w:eastAsia="仿宋" w:cs="仿宋"/>
          <w:szCs w:val="32"/>
          <w:lang w:eastAsia="zh-CN"/>
        </w:rPr>
        <w:t>用，无新增</w:t>
      </w:r>
      <w:r>
        <w:rPr>
          <w:rFonts w:hint="eastAsia" w:ascii="仿宋" w:hAnsi="仿宋" w:eastAsia="仿宋" w:cs="仿宋"/>
          <w:szCs w:val="32"/>
        </w:rPr>
        <w:t>公务用车购置及运维费</w:t>
      </w:r>
      <w:r>
        <w:rPr>
          <w:rFonts w:hint="eastAsia" w:ascii="仿宋" w:hAnsi="仿宋" w:eastAsia="仿宋" w:cs="仿宋"/>
          <w:szCs w:val="32"/>
          <w:lang w:eastAsia="zh-CN"/>
        </w:rPr>
        <w:t>，</w:t>
      </w:r>
      <w:r>
        <w:rPr>
          <w:rFonts w:hint="eastAsia" w:ascii="仿宋" w:hAnsi="仿宋" w:eastAsia="仿宋" w:cs="仿宋"/>
          <w:szCs w:val="32"/>
        </w:rPr>
        <w:t>公务接待费</w:t>
      </w:r>
      <w:r>
        <w:rPr>
          <w:rFonts w:hint="eastAsia" w:ascii="仿宋" w:hAnsi="仿宋" w:eastAsia="仿宋" w:cs="仿宋"/>
          <w:szCs w:val="32"/>
          <w:lang w:eastAsia="zh-CN"/>
        </w:rPr>
        <w:t>与上年一致，原因是下属事业单位秦皇岛市气象灾害防御中心</w:t>
      </w:r>
      <w:r>
        <w:rPr>
          <w:rFonts w:hint="eastAsia" w:ascii="仿宋" w:hAnsi="仿宋" w:eastAsia="仿宋" w:cs="仿宋"/>
          <w:szCs w:val="32"/>
          <w:lang w:val="en-US" w:eastAsia="zh-CN"/>
        </w:rPr>
        <w:t>2020年</w:t>
      </w:r>
      <w:r>
        <w:rPr>
          <w:rFonts w:hint="eastAsia" w:ascii="仿宋" w:hAnsi="仿宋" w:eastAsia="仿宋" w:cs="仿宋"/>
          <w:szCs w:val="32"/>
          <w:lang w:eastAsia="zh-CN"/>
        </w:rPr>
        <w:t>当年</w:t>
      </w:r>
      <w:r>
        <w:rPr>
          <w:rFonts w:hint="eastAsia" w:ascii="仿宋" w:hAnsi="仿宋" w:eastAsia="仿宋" w:cs="仿宋"/>
          <w:szCs w:val="32"/>
          <w:lang w:val="en-US" w:eastAsia="zh-CN"/>
        </w:rPr>
        <w:t>人数无变化且定额公用经费测算标准与上年一致</w:t>
      </w:r>
      <w:r>
        <w:rPr>
          <w:rFonts w:hint="eastAsia" w:ascii="仿宋" w:hAnsi="仿宋" w:eastAsia="仿宋" w:cs="仿宋"/>
          <w:szCs w:val="32"/>
          <w:lang w:eastAsia="zh-CN"/>
        </w:rPr>
        <w:t>，</w:t>
      </w:r>
      <w:r>
        <w:rPr>
          <w:rFonts w:hint="eastAsia" w:ascii="仿宋" w:hAnsi="仿宋" w:eastAsia="仿宋" w:cs="仿宋"/>
          <w:szCs w:val="32"/>
          <w:lang w:val="en-US" w:eastAsia="zh-CN"/>
        </w:rPr>
        <w:t>按照秦皇岛市财政局预算编制公用经费定额要</w:t>
      </w:r>
      <w:r>
        <w:rPr>
          <w:rFonts w:hint="eastAsia" w:ascii="仿宋" w:hAnsi="仿宋" w:eastAsia="仿宋" w:cs="仿宋"/>
          <w:bCs/>
          <w:spacing w:val="-20"/>
          <w:szCs w:val="32"/>
        </w:rPr>
        <w:t>求，</w:t>
      </w:r>
      <w:r>
        <w:rPr>
          <w:rFonts w:hint="eastAsia" w:ascii="仿宋" w:hAnsi="仿宋" w:eastAsia="仿宋" w:cs="仿宋"/>
          <w:szCs w:val="32"/>
          <w:lang w:eastAsia="zh-CN"/>
        </w:rPr>
        <w:t>该下属单位</w:t>
      </w:r>
      <w:r>
        <w:rPr>
          <w:rFonts w:hint="eastAsia" w:ascii="仿宋" w:hAnsi="仿宋" w:eastAsia="仿宋" w:cs="仿宋"/>
          <w:szCs w:val="32"/>
          <w:lang w:val="en-US" w:eastAsia="zh-CN"/>
        </w:rPr>
        <w:t>2020年</w:t>
      </w:r>
      <w:r>
        <w:rPr>
          <w:rFonts w:hint="eastAsia" w:ascii="仿宋" w:hAnsi="仿宋" w:eastAsia="仿宋" w:cs="仿宋"/>
          <w:szCs w:val="32"/>
          <w:lang w:eastAsia="zh-CN"/>
        </w:rPr>
        <w:t>所需公务接</w:t>
      </w:r>
      <w:r>
        <w:rPr>
          <w:rFonts w:hint="eastAsia" w:ascii="仿宋" w:hAnsi="仿宋" w:eastAsia="仿宋" w:cs="仿宋"/>
          <w:bCs/>
          <w:spacing w:val="-20"/>
          <w:szCs w:val="32"/>
          <w:lang w:eastAsia="zh-CN"/>
        </w:rPr>
        <w:t>待费与</w:t>
      </w:r>
      <w:r>
        <w:rPr>
          <w:rFonts w:hint="eastAsia" w:ascii="仿宋" w:hAnsi="仿宋" w:eastAsia="仿宋" w:cs="仿宋"/>
          <w:bCs/>
          <w:spacing w:val="-20"/>
          <w:szCs w:val="32"/>
          <w:lang w:val="en-US" w:eastAsia="zh-CN"/>
        </w:rPr>
        <w:t>2019年一致</w:t>
      </w:r>
      <w:r>
        <w:rPr>
          <w:rFonts w:hint="eastAsia" w:ascii="仿宋" w:hAnsi="仿宋" w:eastAsia="仿宋" w:cs="仿宋"/>
          <w:szCs w:val="32"/>
        </w:rPr>
        <w:t>。</w:t>
      </w:r>
    </w:p>
    <w:p>
      <w:pPr>
        <w:pStyle w:val="10"/>
        <w:numPr>
          <w:ilvl w:val="0"/>
          <w:numId w:val="0"/>
        </w:numPr>
        <w:spacing w:after="10" w:line="378" w:lineRule="auto"/>
        <w:ind w:left="626" w:leftChars="0" w:right="8665" w:rightChars="0"/>
        <w:rPr>
          <w:rFonts w:hint="eastAsia" w:ascii="黑体" w:hAnsi="黑体" w:eastAsia="黑体"/>
          <w:szCs w:val="32"/>
        </w:rPr>
      </w:pPr>
      <w:r>
        <w:rPr>
          <w:rFonts w:hint="eastAsia" w:ascii="黑体" w:hAnsi="黑体" w:eastAsia="黑体"/>
          <w:szCs w:val="32"/>
        </w:rPr>
        <w:t>五</w:t>
      </w:r>
      <w:r>
        <w:rPr>
          <w:rFonts w:hint="eastAsia" w:ascii="黑体" w:hAnsi="黑体" w:eastAsia="黑体"/>
          <w:szCs w:val="32"/>
          <w:lang w:val="en-US" w:eastAsia="zh-CN"/>
        </w:rPr>
        <w:t>、政府采购预算情况</w:t>
      </w:r>
    </w:p>
    <w:p>
      <w:pPr>
        <w:spacing w:after="244" w:line="382" w:lineRule="auto"/>
        <w:rPr>
          <w:rFonts w:ascii="仿宋" w:hAnsi="仿宋" w:eastAsia="仿宋"/>
          <w:szCs w:val="32"/>
        </w:rPr>
      </w:pPr>
      <w:r>
        <w:rPr>
          <w:rFonts w:ascii="仿宋" w:hAnsi="仿宋" w:eastAsia="仿宋"/>
          <w:szCs w:val="32"/>
        </w:rPr>
        <w:t>20</w:t>
      </w:r>
      <w:r>
        <w:rPr>
          <w:rFonts w:hint="eastAsia" w:ascii="仿宋" w:hAnsi="仿宋" w:eastAsia="仿宋"/>
          <w:szCs w:val="32"/>
          <w:lang w:val="en-US" w:eastAsia="zh-CN"/>
        </w:rPr>
        <w:t>20</w:t>
      </w:r>
      <w:r>
        <w:rPr>
          <w:rFonts w:ascii="仿宋" w:hAnsi="仿宋" w:eastAsia="仿宋"/>
          <w:szCs w:val="32"/>
        </w:rPr>
        <w:t>年，</w:t>
      </w:r>
      <w:r>
        <w:rPr>
          <w:rFonts w:hint="eastAsia" w:ascii="仿宋" w:hAnsi="仿宋" w:eastAsia="仿宋"/>
          <w:szCs w:val="32"/>
        </w:rPr>
        <w:t>气象部门</w:t>
      </w:r>
      <w:r>
        <w:rPr>
          <w:rFonts w:ascii="仿宋" w:hAnsi="仿宋" w:eastAsia="仿宋"/>
          <w:szCs w:val="32"/>
        </w:rPr>
        <w:t>安排政府采购预算</w:t>
      </w:r>
      <w:r>
        <w:rPr>
          <w:rFonts w:hint="eastAsia" w:ascii="仿宋" w:hAnsi="仿宋" w:eastAsia="仿宋"/>
          <w:szCs w:val="32"/>
          <w:lang w:val="en-US" w:eastAsia="zh-CN"/>
        </w:rPr>
        <w:t>3.20</w:t>
      </w:r>
      <w:r>
        <w:rPr>
          <w:rFonts w:ascii="仿宋" w:hAnsi="仿宋" w:eastAsia="仿宋"/>
          <w:szCs w:val="32"/>
        </w:rPr>
        <w:t>万元。具体内容见下表。</w:t>
      </w:r>
    </w:p>
    <w:p>
      <w:pPr>
        <w:spacing w:after="50" w:line="259" w:lineRule="auto"/>
        <w:ind w:left="10" w:hanging="10"/>
        <w:jc w:val="center"/>
        <w:rPr>
          <w:rFonts w:ascii="仿宋" w:hAnsi="仿宋" w:eastAsia="仿宋"/>
          <w:szCs w:val="32"/>
        </w:rPr>
      </w:pPr>
      <w:r>
        <w:rPr>
          <w:rFonts w:ascii="仿宋" w:hAnsi="仿宋" w:eastAsia="仿宋"/>
          <w:szCs w:val="32"/>
        </w:rPr>
        <w:t>部门政府采购预算</w:t>
      </w:r>
    </w:p>
    <w:p>
      <w:pPr>
        <w:tabs>
          <w:tab w:val="right" w:pos="14282"/>
        </w:tabs>
        <w:spacing w:after="0" w:line="259" w:lineRule="auto"/>
        <w:ind w:firstLine="0"/>
        <w:rPr>
          <w:rFonts w:ascii="仿宋" w:hAnsi="仿宋" w:eastAsia="仿宋"/>
          <w:szCs w:val="32"/>
        </w:rPr>
      </w:pPr>
      <w:r>
        <w:rPr>
          <w:rFonts w:hint="eastAsia" w:ascii="仿宋" w:hAnsi="仿宋" w:eastAsia="仿宋"/>
          <w:szCs w:val="32"/>
        </w:rPr>
        <w:t>901</w:t>
      </w:r>
      <w:r>
        <w:rPr>
          <w:rFonts w:ascii="仿宋" w:hAnsi="仿宋" w:eastAsia="仿宋"/>
          <w:szCs w:val="32"/>
        </w:rPr>
        <w:t xml:space="preserve"> </w:t>
      </w:r>
      <w:r>
        <w:rPr>
          <w:rFonts w:hint="eastAsia" w:ascii="仿宋" w:hAnsi="仿宋" w:eastAsia="仿宋"/>
          <w:szCs w:val="32"/>
        </w:rPr>
        <w:t>秦皇岛市气象局</w:t>
      </w:r>
      <w:r>
        <w:rPr>
          <w:rFonts w:hint="eastAsia" w:ascii="仿宋" w:hAnsi="仿宋" w:eastAsia="仿宋"/>
          <w:szCs w:val="32"/>
          <w:lang w:val="en-US" w:eastAsia="zh-CN"/>
        </w:rPr>
        <w:t xml:space="preserve">                                                      </w:t>
      </w:r>
      <w:r>
        <w:rPr>
          <w:rFonts w:ascii="仿宋" w:hAnsi="仿宋" w:eastAsia="仿宋"/>
          <w:szCs w:val="32"/>
        </w:rPr>
        <w:t>单位：万元</w:t>
      </w:r>
    </w:p>
    <w:tbl>
      <w:tblPr>
        <w:tblStyle w:val="8"/>
        <w:tblW w:w="13451" w:type="dxa"/>
        <w:tblInd w:w="-110" w:type="dxa"/>
        <w:tblLayout w:type="fixed"/>
        <w:tblCellMar>
          <w:top w:w="65" w:type="dxa"/>
          <w:left w:w="108" w:type="dxa"/>
          <w:bottom w:w="0" w:type="dxa"/>
          <w:right w:w="54" w:type="dxa"/>
        </w:tblCellMar>
      </w:tblPr>
      <w:tblGrid>
        <w:gridCol w:w="1988"/>
        <w:gridCol w:w="1039"/>
        <w:gridCol w:w="1545"/>
        <w:gridCol w:w="1155"/>
        <w:gridCol w:w="765"/>
        <w:gridCol w:w="810"/>
        <w:gridCol w:w="795"/>
        <w:gridCol w:w="945"/>
        <w:gridCol w:w="930"/>
        <w:gridCol w:w="735"/>
        <w:gridCol w:w="1054"/>
        <w:gridCol w:w="853"/>
        <w:gridCol w:w="837"/>
      </w:tblGrid>
      <w:tr>
        <w:tblPrEx>
          <w:tblCellMar>
            <w:top w:w="65" w:type="dxa"/>
            <w:left w:w="108" w:type="dxa"/>
            <w:bottom w:w="0" w:type="dxa"/>
            <w:right w:w="54" w:type="dxa"/>
          </w:tblCellMar>
        </w:tblPrEx>
        <w:trPr>
          <w:trHeight w:val="317" w:hRule="atLeast"/>
        </w:trPr>
        <w:tc>
          <w:tcPr>
            <w:tcW w:w="3027" w:type="dxa"/>
            <w:gridSpan w:val="2"/>
            <w:tcBorders>
              <w:top w:val="single" w:color="000000" w:sz="6" w:space="0"/>
              <w:left w:val="single" w:color="000000" w:sz="6" w:space="0"/>
              <w:bottom w:val="single" w:color="000000" w:sz="6" w:space="0"/>
              <w:right w:val="single" w:color="000000" w:sz="6" w:space="0"/>
            </w:tcBorders>
            <w:vAlign w:val="center"/>
          </w:tcPr>
          <w:p>
            <w:pPr>
              <w:spacing w:after="0" w:line="259" w:lineRule="auto"/>
              <w:ind w:right="47" w:firstLine="0"/>
              <w:jc w:val="center"/>
              <w:rPr>
                <w:rFonts w:hint="eastAsia"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rPr>
              <w:t>政府采购项目来源</w:t>
            </w:r>
          </w:p>
        </w:tc>
        <w:tc>
          <w:tcPr>
            <w:tcW w:w="1545" w:type="dxa"/>
            <w:vMerge w:val="restart"/>
            <w:tcBorders>
              <w:top w:val="single" w:color="000000" w:sz="6" w:space="0"/>
              <w:left w:val="single" w:color="000000" w:sz="6" w:space="0"/>
              <w:right w:val="single" w:color="000000" w:sz="6" w:space="0"/>
            </w:tcBorders>
            <w:vAlign w:val="center"/>
          </w:tcPr>
          <w:p>
            <w:pPr>
              <w:spacing w:after="0" w:line="259" w:lineRule="auto"/>
              <w:ind w:firstLine="0"/>
              <w:jc w:val="center"/>
              <w:rPr>
                <w:rFonts w:hint="eastAsia"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rPr>
              <w:t>采购物品名称</w:t>
            </w:r>
          </w:p>
        </w:tc>
        <w:tc>
          <w:tcPr>
            <w:tcW w:w="1155" w:type="dxa"/>
            <w:vMerge w:val="restart"/>
            <w:tcBorders>
              <w:top w:val="single" w:color="000000" w:sz="6" w:space="0"/>
              <w:left w:val="single" w:color="000000" w:sz="6" w:space="0"/>
              <w:right w:val="single" w:color="000000" w:sz="6" w:space="0"/>
            </w:tcBorders>
            <w:vAlign w:val="center"/>
          </w:tcPr>
          <w:p>
            <w:pPr>
              <w:spacing w:after="0" w:line="259" w:lineRule="auto"/>
              <w:ind w:firstLine="0"/>
              <w:jc w:val="center"/>
              <w:rPr>
                <w:rFonts w:hint="eastAsia"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rPr>
              <w:t>政府采购目录序号</w:t>
            </w:r>
          </w:p>
        </w:tc>
        <w:tc>
          <w:tcPr>
            <w:tcW w:w="765" w:type="dxa"/>
            <w:vMerge w:val="restart"/>
            <w:tcBorders>
              <w:top w:val="single" w:color="000000" w:sz="6" w:space="0"/>
              <w:left w:val="single" w:color="000000" w:sz="6" w:space="0"/>
              <w:bottom w:val="single" w:color="000000" w:sz="6" w:space="0"/>
              <w:right w:val="single" w:color="000000" w:sz="6" w:space="0"/>
            </w:tcBorders>
            <w:vAlign w:val="center"/>
          </w:tcPr>
          <w:p>
            <w:pPr>
              <w:spacing w:after="0" w:line="259" w:lineRule="auto"/>
              <w:ind w:firstLine="0"/>
              <w:jc w:val="center"/>
              <w:rPr>
                <w:rFonts w:hint="eastAsia"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lang w:eastAsia="zh-CN"/>
              </w:rPr>
              <w:t>计</w:t>
            </w:r>
            <w:r>
              <w:rPr>
                <w:rFonts w:hint="eastAsia" w:asciiTheme="majorEastAsia" w:hAnsiTheme="majorEastAsia" w:eastAsiaTheme="majorEastAsia" w:cstheme="majorEastAsia"/>
                <w:sz w:val="22"/>
                <w:szCs w:val="22"/>
              </w:rPr>
              <w:t>量单位</w:t>
            </w:r>
          </w:p>
        </w:tc>
        <w:tc>
          <w:tcPr>
            <w:tcW w:w="810" w:type="dxa"/>
            <w:vMerge w:val="restart"/>
            <w:tcBorders>
              <w:top w:val="single" w:color="000000" w:sz="6" w:space="0"/>
              <w:left w:val="single" w:color="000000" w:sz="6" w:space="0"/>
              <w:bottom w:val="single" w:color="000000" w:sz="6" w:space="0"/>
              <w:right w:val="single" w:color="000000" w:sz="6" w:space="0"/>
            </w:tcBorders>
            <w:vAlign w:val="center"/>
          </w:tcPr>
          <w:p>
            <w:pPr>
              <w:spacing w:after="0" w:line="259" w:lineRule="auto"/>
              <w:ind w:left="120" w:firstLine="0"/>
              <w:jc w:val="center"/>
              <w:rPr>
                <w:rFonts w:hint="eastAsia"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rPr>
              <w:t>数量</w:t>
            </w:r>
          </w:p>
        </w:tc>
        <w:tc>
          <w:tcPr>
            <w:tcW w:w="795" w:type="dxa"/>
            <w:vMerge w:val="restart"/>
            <w:tcBorders>
              <w:top w:val="single" w:color="000000" w:sz="6" w:space="0"/>
              <w:left w:val="single" w:color="000000" w:sz="6" w:space="0"/>
              <w:bottom w:val="single" w:color="000000" w:sz="6" w:space="0"/>
              <w:right w:val="single" w:color="000000" w:sz="6" w:space="0"/>
            </w:tcBorders>
            <w:vAlign w:val="center"/>
          </w:tcPr>
          <w:p>
            <w:pPr>
              <w:spacing w:after="0" w:line="259" w:lineRule="auto"/>
              <w:ind w:left="130" w:firstLine="0"/>
              <w:jc w:val="center"/>
              <w:rPr>
                <w:rFonts w:hint="eastAsia"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rPr>
              <w:t>单价</w:t>
            </w:r>
          </w:p>
        </w:tc>
        <w:tc>
          <w:tcPr>
            <w:tcW w:w="5354" w:type="dxa"/>
            <w:gridSpan w:val="6"/>
            <w:tcBorders>
              <w:top w:val="single" w:color="000000" w:sz="6" w:space="0"/>
              <w:left w:val="single" w:color="000000" w:sz="6" w:space="0"/>
              <w:bottom w:val="single" w:color="000000" w:sz="6" w:space="0"/>
              <w:right w:val="single" w:color="000000" w:sz="6" w:space="0"/>
            </w:tcBorders>
            <w:vAlign w:val="center"/>
          </w:tcPr>
          <w:p>
            <w:pPr>
              <w:spacing w:after="0" w:line="259" w:lineRule="auto"/>
              <w:ind w:right="52" w:firstLine="0"/>
              <w:jc w:val="center"/>
              <w:rPr>
                <w:rFonts w:hint="eastAsia"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rPr>
              <w:t>政府采购金额</w:t>
            </w:r>
            <w:r>
              <w:rPr>
                <w:rFonts w:hint="eastAsia" w:asciiTheme="majorEastAsia" w:hAnsiTheme="majorEastAsia" w:eastAsiaTheme="majorEastAsia" w:cstheme="majorEastAsia"/>
                <w:sz w:val="22"/>
                <w:szCs w:val="22"/>
                <w:lang w:eastAsia="zh-CN"/>
              </w:rPr>
              <w:t>（当年部门预算安排资金）</w:t>
            </w:r>
          </w:p>
        </w:tc>
      </w:tr>
      <w:tr>
        <w:tblPrEx>
          <w:tblCellMar>
            <w:top w:w="65" w:type="dxa"/>
            <w:left w:w="108" w:type="dxa"/>
            <w:bottom w:w="0" w:type="dxa"/>
            <w:right w:w="54" w:type="dxa"/>
          </w:tblCellMar>
        </w:tblPrEx>
        <w:trPr>
          <w:trHeight w:val="722" w:hRule="atLeast"/>
        </w:trPr>
        <w:tc>
          <w:tcPr>
            <w:tcW w:w="1988" w:type="dxa"/>
            <w:tcBorders>
              <w:top w:val="nil"/>
              <w:left w:val="single" w:color="000000" w:sz="6" w:space="0"/>
              <w:bottom w:val="single" w:color="000000" w:sz="6" w:space="0"/>
              <w:right w:val="single" w:color="000000" w:sz="6" w:space="0"/>
            </w:tcBorders>
            <w:vAlign w:val="center"/>
          </w:tcPr>
          <w:p>
            <w:pPr>
              <w:spacing w:after="160" w:line="259" w:lineRule="auto"/>
              <w:ind w:firstLine="0"/>
              <w:jc w:val="center"/>
              <w:rPr>
                <w:rFonts w:hint="eastAsia" w:asciiTheme="majorEastAsia" w:hAnsiTheme="majorEastAsia" w:eastAsiaTheme="majorEastAsia" w:cstheme="majorEastAsia"/>
                <w:sz w:val="22"/>
                <w:szCs w:val="22"/>
                <w:lang w:eastAsia="zh-CN"/>
              </w:rPr>
            </w:pPr>
            <w:r>
              <w:rPr>
                <w:rFonts w:hint="eastAsia" w:asciiTheme="majorEastAsia" w:hAnsiTheme="majorEastAsia" w:eastAsiaTheme="majorEastAsia" w:cstheme="majorEastAsia"/>
                <w:sz w:val="22"/>
                <w:szCs w:val="22"/>
                <w:lang w:eastAsia="zh-CN"/>
              </w:rPr>
              <w:t>项目名称</w:t>
            </w:r>
          </w:p>
        </w:tc>
        <w:tc>
          <w:tcPr>
            <w:tcW w:w="1039" w:type="dxa"/>
            <w:tcBorders>
              <w:top w:val="nil"/>
              <w:left w:val="single" w:color="000000" w:sz="6" w:space="0"/>
              <w:bottom w:val="single" w:color="000000" w:sz="6" w:space="0"/>
              <w:right w:val="single" w:color="000000" w:sz="6" w:space="0"/>
            </w:tcBorders>
            <w:vAlign w:val="center"/>
          </w:tcPr>
          <w:p>
            <w:pPr>
              <w:spacing w:after="160" w:line="259" w:lineRule="auto"/>
              <w:ind w:firstLine="0"/>
              <w:jc w:val="center"/>
              <w:rPr>
                <w:rFonts w:hint="eastAsia" w:asciiTheme="majorEastAsia" w:hAnsiTheme="majorEastAsia" w:eastAsiaTheme="majorEastAsia" w:cstheme="majorEastAsia"/>
                <w:sz w:val="22"/>
                <w:szCs w:val="22"/>
                <w:lang w:eastAsia="zh-CN"/>
              </w:rPr>
            </w:pPr>
            <w:r>
              <w:rPr>
                <w:rFonts w:hint="eastAsia" w:asciiTheme="majorEastAsia" w:hAnsiTheme="majorEastAsia" w:eastAsiaTheme="majorEastAsia" w:cstheme="majorEastAsia"/>
                <w:sz w:val="22"/>
                <w:szCs w:val="22"/>
                <w:lang w:eastAsia="zh-CN"/>
              </w:rPr>
              <w:t>预算资金</w:t>
            </w:r>
          </w:p>
        </w:tc>
        <w:tc>
          <w:tcPr>
            <w:tcW w:w="1545" w:type="dxa"/>
            <w:vMerge w:val="continue"/>
            <w:tcBorders>
              <w:left w:val="single" w:color="000000" w:sz="6" w:space="0"/>
              <w:bottom w:val="single" w:color="000000" w:sz="6" w:space="0"/>
              <w:right w:val="single" w:color="000000" w:sz="6" w:space="0"/>
            </w:tcBorders>
            <w:vAlign w:val="center"/>
          </w:tcPr>
          <w:p>
            <w:pPr>
              <w:spacing w:after="160" w:line="259" w:lineRule="auto"/>
              <w:ind w:firstLine="0"/>
              <w:jc w:val="center"/>
              <w:rPr>
                <w:rFonts w:hint="eastAsia" w:asciiTheme="majorEastAsia" w:hAnsiTheme="majorEastAsia" w:eastAsiaTheme="majorEastAsia" w:cstheme="majorEastAsia"/>
                <w:sz w:val="22"/>
                <w:szCs w:val="22"/>
              </w:rPr>
            </w:pPr>
          </w:p>
        </w:tc>
        <w:tc>
          <w:tcPr>
            <w:tcW w:w="1155" w:type="dxa"/>
            <w:vMerge w:val="continue"/>
            <w:tcBorders>
              <w:left w:val="single" w:color="000000" w:sz="6" w:space="0"/>
              <w:bottom w:val="single" w:color="000000" w:sz="6" w:space="0"/>
              <w:right w:val="single" w:color="000000" w:sz="6" w:space="0"/>
            </w:tcBorders>
            <w:vAlign w:val="center"/>
          </w:tcPr>
          <w:p>
            <w:pPr>
              <w:spacing w:after="160" w:line="259" w:lineRule="auto"/>
              <w:ind w:firstLine="0"/>
              <w:jc w:val="center"/>
              <w:rPr>
                <w:rFonts w:hint="eastAsia" w:asciiTheme="majorEastAsia" w:hAnsiTheme="majorEastAsia" w:eastAsiaTheme="majorEastAsia" w:cstheme="majorEastAsia"/>
                <w:sz w:val="22"/>
                <w:szCs w:val="22"/>
              </w:rPr>
            </w:pPr>
          </w:p>
        </w:tc>
        <w:tc>
          <w:tcPr>
            <w:tcW w:w="765" w:type="dxa"/>
            <w:vMerge w:val="continue"/>
            <w:tcBorders>
              <w:top w:val="nil"/>
              <w:left w:val="single" w:color="000000" w:sz="6" w:space="0"/>
              <w:bottom w:val="single" w:color="000000" w:sz="6" w:space="0"/>
              <w:right w:val="single" w:color="000000" w:sz="6" w:space="0"/>
            </w:tcBorders>
            <w:vAlign w:val="center"/>
          </w:tcPr>
          <w:p>
            <w:pPr>
              <w:spacing w:after="160" w:line="259" w:lineRule="auto"/>
              <w:ind w:firstLine="0"/>
              <w:jc w:val="center"/>
              <w:rPr>
                <w:rFonts w:hint="eastAsia" w:asciiTheme="majorEastAsia" w:hAnsiTheme="majorEastAsia" w:eastAsiaTheme="majorEastAsia" w:cstheme="majorEastAsia"/>
                <w:sz w:val="22"/>
                <w:szCs w:val="22"/>
              </w:rPr>
            </w:pPr>
          </w:p>
        </w:tc>
        <w:tc>
          <w:tcPr>
            <w:tcW w:w="810" w:type="dxa"/>
            <w:vMerge w:val="continue"/>
            <w:tcBorders>
              <w:top w:val="nil"/>
              <w:left w:val="single" w:color="000000" w:sz="6" w:space="0"/>
              <w:bottom w:val="single" w:color="000000" w:sz="6" w:space="0"/>
              <w:right w:val="single" w:color="000000" w:sz="6" w:space="0"/>
            </w:tcBorders>
            <w:vAlign w:val="center"/>
          </w:tcPr>
          <w:p>
            <w:pPr>
              <w:spacing w:after="160" w:line="259" w:lineRule="auto"/>
              <w:ind w:firstLine="0"/>
              <w:jc w:val="center"/>
              <w:rPr>
                <w:rFonts w:hint="eastAsia" w:asciiTheme="majorEastAsia" w:hAnsiTheme="majorEastAsia" w:eastAsiaTheme="majorEastAsia" w:cstheme="majorEastAsia"/>
                <w:sz w:val="22"/>
                <w:szCs w:val="22"/>
              </w:rPr>
            </w:pPr>
          </w:p>
        </w:tc>
        <w:tc>
          <w:tcPr>
            <w:tcW w:w="795" w:type="dxa"/>
            <w:vMerge w:val="continue"/>
            <w:tcBorders>
              <w:top w:val="nil"/>
              <w:left w:val="single" w:color="000000" w:sz="6" w:space="0"/>
              <w:bottom w:val="single" w:color="000000" w:sz="6" w:space="0"/>
              <w:right w:val="single" w:color="000000" w:sz="6" w:space="0"/>
            </w:tcBorders>
            <w:vAlign w:val="center"/>
          </w:tcPr>
          <w:p>
            <w:pPr>
              <w:spacing w:after="160" w:line="259" w:lineRule="auto"/>
              <w:ind w:firstLine="0"/>
              <w:jc w:val="center"/>
              <w:rPr>
                <w:rFonts w:hint="eastAsia" w:asciiTheme="majorEastAsia" w:hAnsiTheme="majorEastAsia" w:eastAsiaTheme="majorEastAsia" w:cstheme="majorEastAsia"/>
                <w:sz w:val="22"/>
                <w:szCs w:val="22"/>
              </w:rPr>
            </w:pPr>
          </w:p>
        </w:tc>
        <w:tc>
          <w:tcPr>
            <w:tcW w:w="945" w:type="dxa"/>
            <w:tcBorders>
              <w:top w:val="single" w:color="000000" w:sz="6" w:space="0"/>
              <w:left w:val="single" w:color="000000" w:sz="6" w:space="0"/>
              <w:bottom w:val="single" w:color="000000" w:sz="6" w:space="0"/>
              <w:right w:val="single" w:color="000000" w:sz="6" w:space="0"/>
            </w:tcBorders>
            <w:vAlign w:val="center"/>
          </w:tcPr>
          <w:p>
            <w:pPr>
              <w:spacing w:after="0" w:line="259" w:lineRule="auto"/>
              <w:ind w:left="130" w:firstLine="0"/>
              <w:jc w:val="center"/>
              <w:rPr>
                <w:rFonts w:hint="eastAsia"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rPr>
              <w:t>合计</w:t>
            </w:r>
          </w:p>
        </w:tc>
        <w:tc>
          <w:tcPr>
            <w:tcW w:w="930" w:type="dxa"/>
            <w:tcBorders>
              <w:top w:val="single" w:color="000000" w:sz="6" w:space="0"/>
              <w:left w:val="single" w:color="000000" w:sz="6" w:space="0"/>
              <w:bottom w:val="single" w:color="000000" w:sz="6" w:space="0"/>
              <w:right w:val="single" w:color="000000" w:sz="6" w:space="0"/>
            </w:tcBorders>
            <w:vAlign w:val="center"/>
          </w:tcPr>
          <w:p>
            <w:pPr>
              <w:spacing w:after="0" w:line="259" w:lineRule="auto"/>
              <w:ind w:firstLine="0"/>
              <w:jc w:val="center"/>
              <w:rPr>
                <w:rFonts w:hint="eastAsia"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rPr>
              <w:t>一般公共预算拨款</w:t>
            </w:r>
          </w:p>
        </w:tc>
        <w:tc>
          <w:tcPr>
            <w:tcW w:w="735" w:type="dxa"/>
            <w:tcBorders>
              <w:top w:val="single" w:color="000000" w:sz="6" w:space="0"/>
              <w:left w:val="single" w:color="000000" w:sz="6" w:space="0"/>
              <w:bottom w:val="single" w:color="000000" w:sz="6" w:space="0"/>
              <w:right w:val="single" w:color="000000" w:sz="6" w:space="0"/>
            </w:tcBorders>
            <w:vAlign w:val="center"/>
          </w:tcPr>
          <w:p>
            <w:pPr>
              <w:spacing w:after="0" w:line="259" w:lineRule="auto"/>
              <w:ind w:firstLine="0"/>
              <w:jc w:val="center"/>
              <w:rPr>
                <w:rFonts w:hint="eastAsia"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rPr>
              <w:t>基金预算拨款</w:t>
            </w:r>
          </w:p>
        </w:tc>
        <w:tc>
          <w:tcPr>
            <w:tcW w:w="1054" w:type="dxa"/>
            <w:tcBorders>
              <w:top w:val="single" w:color="000000" w:sz="6" w:space="0"/>
              <w:left w:val="single" w:color="000000" w:sz="6" w:space="0"/>
              <w:bottom w:val="single" w:color="000000" w:sz="6" w:space="0"/>
              <w:right w:val="single" w:color="000000" w:sz="6" w:space="0"/>
            </w:tcBorders>
            <w:vAlign w:val="center"/>
          </w:tcPr>
          <w:p>
            <w:pPr>
              <w:spacing w:after="0" w:line="259" w:lineRule="auto"/>
              <w:ind w:firstLine="0"/>
              <w:jc w:val="center"/>
              <w:rPr>
                <w:rFonts w:hint="eastAsia" w:asciiTheme="majorEastAsia" w:hAnsiTheme="majorEastAsia" w:eastAsiaTheme="majorEastAsia" w:cstheme="majorEastAsia"/>
                <w:sz w:val="22"/>
                <w:szCs w:val="22"/>
                <w:lang w:eastAsia="zh-CN"/>
              </w:rPr>
            </w:pPr>
            <w:r>
              <w:rPr>
                <w:rFonts w:hint="eastAsia" w:asciiTheme="majorEastAsia" w:hAnsiTheme="majorEastAsia" w:eastAsiaTheme="majorEastAsia" w:cstheme="majorEastAsia"/>
                <w:sz w:val="22"/>
                <w:szCs w:val="22"/>
                <w:lang w:eastAsia="zh-CN"/>
              </w:rPr>
              <w:t>国有资本经营预算拨款</w:t>
            </w:r>
          </w:p>
        </w:tc>
        <w:tc>
          <w:tcPr>
            <w:tcW w:w="853" w:type="dxa"/>
            <w:tcBorders>
              <w:top w:val="single" w:color="000000" w:sz="6" w:space="0"/>
              <w:left w:val="single" w:color="000000" w:sz="6" w:space="0"/>
              <w:bottom w:val="single" w:color="000000" w:sz="6" w:space="0"/>
              <w:right w:val="single" w:color="000000" w:sz="6" w:space="0"/>
            </w:tcBorders>
            <w:vAlign w:val="center"/>
          </w:tcPr>
          <w:p>
            <w:pPr>
              <w:spacing w:after="0" w:line="259" w:lineRule="auto"/>
              <w:ind w:firstLine="0"/>
              <w:jc w:val="center"/>
              <w:rPr>
                <w:rFonts w:hint="eastAsia"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rPr>
              <w:t>财政专户核拨</w:t>
            </w:r>
          </w:p>
        </w:tc>
        <w:tc>
          <w:tcPr>
            <w:tcW w:w="837" w:type="dxa"/>
            <w:tcBorders>
              <w:top w:val="nil"/>
              <w:left w:val="single" w:color="000000" w:sz="6" w:space="0"/>
              <w:bottom w:val="single" w:color="000000" w:sz="6" w:space="0"/>
              <w:right w:val="single" w:color="000000" w:sz="6" w:space="0"/>
            </w:tcBorders>
          </w:tcPr>
          <w:p>
            <w:pPr>
              <w:spacing w:after="160" w:line="259" w:lineRule="auto"/>
              <w:ind w:firstLine="0"/>
              <w:rPr>
                <w:rFonts w:hint="eastAsia"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rPr>
              <w:t>其他来源收入</w:t>
            </w:r>
          </w:p>
        </w:tc>
      </w:tr>
      <w:tr>
        <w:tblPrEx>
          <w:tblCellMar>
            <w:top w:w="65" w:type="dxa"/>
            <w:left w:w="108" w:type="dxa"/>
            <w:bottom w:w="0" w:type="dxa"/>
            <w:right w:w="54" w:type="dxa"/>
          </w:tblCellMar>
        </w:tblPrEx>
        <w:trPr>
          <w:trHeight w:val="427" w:hRule="atLeast"/>
        </w:trPr>
        <w:tc>
          <w:tcPr>
            <w:tcW w:w="1988" w:type="dxa"/>
            <w:tcBorders>
              <w:top w:val="single" w:color="000000" w:sz="6" w:space="0"/>
              <w:left w:val="single" w:color="000000" w:sz="6" w:space="0"/>
              <w:bottom w:val="single" w:color="000000" w:sz="6" w:space="0"/>
              <w:right w:val="single" w:color="000000" w:sz="6" w:space="0"/>
            </w:tcBorders>
          </w:tcPr>
          <w:p>
            <w:pPr>
              <w:tabs>
                <w:tab w:val="center" w:pos="879"/>
                <w:tab w:val="center" w:pos="1301"/>
              </w:tabs>
              <w:spacing w:after="0" w:line="259" w:lineRule="auto"/>
              <w:ind w:firstLine="0"/>
              <w:rPr>
                <w:rFonts w:hint="eastAsia" w:asciiTheme="majorEastAsia" w:hAnsiTheme="majorEastAsia" w:eastAsiaTheme="majorEastAsia" w:cstheme="majorEastAsia"/>
                <w:sz w:val="22"/>
                <w:szCs w:val="22"/>
                <w:lang w:eastAsia="zh-CN"/>
              </w:rPr>
            </w:pPr>
            <w:r>
              <w:rPr>
                <w:rFonts w:hint="eastAsia" w:asciiTheme="majorEastAsia" w:hAnsiTheme="majorEastAsia" w:eastAsiaTheme="majorEastAsia" w:cstheme="majorEastAsia"/>
                <w:sz w:val="22"/>
                <w:szCs w:val="22"/>
              </w:rPr>
              <w:tab/>
            </w:r>
            <w:r>
              <w:rPr>
                <w:rFonts w:hint="eastAsia" w:asciiTheme="majorEastAsia" w:hAnsiTheme="majorEastAsia" w:eastAsiaTheme="majorEastAsia" w:cstheme="majorEastAsia"/>
                <w:sz w:val="22"/>
                <w:szCs w:val="22"/>
                <w:lang w:eastAsia="zh-CN"/>
              </w:rPr>
              <w:t>秦皇岛市气象局</w:t>
            </w:r>
          </w:p>
          <w:p>
            <w:pPr>
              <w:tabs>
                <w:tab w:val="center" w:pos="879"/>
                <w:tab w:val="center" w:pos="1301"/>
              </w:tabs>
              <w:spacing w:after="0" w:line="259" w:lineRule="auto"/>
              <w:rPr>
                <w:rFonts w:hint="eastAsia"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lang w:eastAsia="zh-CN"/>
              </w:rPr>
              <w:t>小</w:t>
            </w:r>
            <w:r>
              <w:rPr>
                <w:rFonts w:hint="eastAsia" w:asciiTheme="majorEastAsia" w:hAnsiTheme="majorEastAsia" w:eastAsiaTheme="majorEastAsia" w:cstheme="majorEastAsia"/>
                <w:sz w:val="22"/>
                <w:szCs w:val="22"/>
              </w:rPr>
              <w:t>计</w:t>
            </w:r>
          </w:p>
        </w:tc>
        <w:tc>
          <w:tcPr>
            <w:tcW w:w="1039" w:type="dxa"/>
            <w:tcBorders>
              <w:top w:val="single" w:color="000000" w:sz="6" w:space="0"/>
              <w:left w:val="single" w:color="000000" w:sz="6" w:space="0"/>
              <w:bottom w:val="single" w:color="000000" w:sz="6" w:space="0"/>
              <w:right w:val="single" w:color="000000" w:sz="6" w:space="0"/>
            </w:tcBorders>
          </w:tcPr>
          <w:p>
            <w:pPr>
              <w:spacing w:after="0" w:line="259" w:lineRule="auto"/>
              <w:ind w:firstLine="0"/>
              <w:jc w:val="right"/>
              <w:rPr>
                <w:rFonts w:hint="eastAsia" w:asciiTheme="majorEastAsia" w:hAnsiTheme="majorEastAsia" w:eastAsiaTheme="majorEastAsia" w:cstheme="majorEastAsia"/>
                <w:sz w:val="22"/>
                <w:szCs w:val="22"/>
              </w:rPr>
            </w:pPr>
          </w:p>
        </w:tc>
        <w:tc>
          <w:tcPr>
            <w:tcW w:w="1545" w:type="dxa"/>
            <w:tcBorders>
              <w:top w:val="single" w:color="000000" w:sz="6" w:space="0"/>
              <w:left w:val="single" w:color="000000" w:sz="6" w:space="0"/>
              <w:bottom w:val="single" w:color="000000" w:sz="6" w:space="0"/>
              <w:right w:val="single" w:color="000000" w:sz="6" w:space="0"/>
            </w:tcBorders>
          </w:tcPr>
          <w:p>
            <w:pPr>
              <w:spacing w:after="0" w:line="259" w:lineRule="auto"/>
              <w:ind w:firstLine="0"/>
              <w:rPr>
                <w:rFonts w:hint="eastAsia" w:asciiTheme="majorEastAsia" w:hAnsiTheme="majorEastAsia" w:eastAsiaTheme="majorEastAsia" w:cstheme="majorEastAsia"/>
                <w:sz w:val="22"/>
                <w:szCs w:val="22"/>
              </w:rPr>
            </w:pPr>
          </w:p>
        </w:tc>
        <w:tc>
          <w:tcPr>
            <w:tcW w:w="1155" w:type="dxa"/>
            <w:tcBorders>
              <w:top w:val="single" w:color="000000" w:sz="6" w:space="0"/>
              <w:left w:val="single" w:color="000000" w:sz="6" w:space="0"/>
              <w:bottom w:val="single" w:color="000000" w:sz="6" w:space="0"/>
              <w:right w:val="single" w:color="000000" w:sz="6" w:space="0"/>
            </w:tcBorders>
          </w:tcPr>
          <w:p>
            <w:pPr>
              <w:spacing w:after="0" w:line="259" w:lineRule="auto"/>
              <w:ind w:firstLine="0"/>
              <w:rPr>
                <w:rFonts w:hint="eastAsia" w:asciiTheme="majorEastAsia" w:hAnsiTheme="majorEastAsia" w:eastAsiaTheme="majorEastAsia" w:cstheme="majorEastAsia"/>
                <w:sz w:val="22"/>
                <w:szCs w:val="22"/>
              </w:rPr>
            </w:pPr>
          </w:p>
        </w:tc>
        <w:tc>
          <w:tcPr>
            <w:tcW w:w="765" w:type="dxa"/>
            <w:tcBorders>
              <w:top w:val="single" w:color="000000" w:sz="6" w:space="0"/>
              <w:left w:val="single" w:color="000000" w:sz="6" w:space="0"/>
              <w:bottom w:val="single" w:color="000000" w:sz="6" w:space="0"/>
              <w:right w:val="single" w:color="000000" w:sz="6" w:space="0"/>
            </w:tcBorders>
          </w:tcPr>
          <w:p>
            <w:pPr>
              <w:spacing w:after="0" w:line="259" w:lineRule="auto"/>
              <w:ind w:firstLine="0"/>
              <w:rPr>
                <w:rFonts w:hint="eastAsia" w:asciiTheme="majorEastAsia" w:hAnsiTheme="majorEastAsia" w:eastAsiaTheme="majorEastAsia" w:cstheme="majorEastAsia"/>
                <w:sz w:val="22"/>
                <w:szCs w:val="22"/>
              </w:rPr>
            </w:pPr>
          </w:p>
        </w:tc>
        <w:tc>
          <w:tcPr>
            <w:tcW w:w="810" w:type="dxa"/>
            <w:tcBorders>
              <w:top w:val="single" w:color="000000" w:sz="6" w:space="0"/>
              <w:left w:val="single" w:color="000000" w:sz="6" w:space="0"/>
              <w:bottom w:val="single" w:color="000000" w:sz="6" w:space="0"/>
              <w:right w:val="single" w:color="000000" w:sz="6" w:space="0"/>
            </w:tcBorders>
          </w:tcPr>
          <w:p>
            <w:pPr>
              <w:spacing w:after="0" w:line="259" w:lineRule="auto"/>
              <w:ind w:right="5" w:firstLine="0"/>
              <w:jc w:val="right"/>
              <w:rPr>
                <w:rFonts w:hint="eastAsia" w:asciiTheme="majorEastAsia" w:hAnsiTheme="majorEastAsia" w:eastAsiaTheme="majorEastAsia" w:cstheme="majorEastAsia"/>
                <w:sz w:val="22"/>
                <w:szCs w:val="22"/>
              </w:rPr>
            </w:pPr>
          </w:p>
        </w:tc>
        <w:tc>
          <w:tcPr>
            <w:tcW w:w="795" w:type="dxa"/>
            <w:tcBorders>
              <w:top w:val="single" w:color="000000" w:sz="6" w:space="0"/>
              <w:left w:val="single" w:color="000000" w:sz="6" w:space="0"/>
              <w:bottom w:val="single" w:color="000000" w:sz="6" w:space="0"/>
              <w:right w:val="single" w:color="000000" w:sz="6" w:space="0"/>
            </w:tcBorders>
          </w:tcPr>
          <w:p>
            <w:pPr>
              <w:spacing w:after="0" w:line="259" w:lineRule="auto"/>
              <w:ind w:right="2" w:firstLine="0"/>
              <w:jc w:val="right"/>
              <w:rPr>
                <w:rFonts w:hint="eastAsia" w:asciiTheme="majorEastAsia" w:hAnsiTheme="majorEastAsia" w:eastAsiaTheme="majorEastAsia" w:cstheme="majorEastAsia"/>
                <w:sz w:val="22"/>
                <w:szCs w:val="22"/>
              </w:rPr>
            </w:pPr>
          </w:p>
        </w:tc>
        <w:tc>
          <w:tcPr>
            <w:tcW w:w="945" w:type="dxa"/>
            <w:tcBorders>
              <w:top w:val="single" w:color="000000" w:sz="6" w:space="0"/>
              <w:left w:val="single" w:color="000000" w:sz="6" w:space="0"/>
              <w:bottom w:val="single" w:color="000000" w:sz="6" w:space="0"/>
              <w:right w:val="single" w:color="000000" w:sz="6" w:space="0"/>
            </w:tcBorders>
            <w:vAlign w:val="center"/>
          </w:tcPr>
          <w:p>
            <w:pPr>
              <w:spacing w:after="0" w:line="259" w:lineRule="auto"/>
              <w:ind w:right="53" w:firstLine="0"/>
              <w:jc w:val="right"/>
              <w:rPr>
                <w:rFonts w:hint="eastAsia" w:asciiTheme="majorEastAsia" w:hAnsiTheme="majorEastAsia" w:eastAsiaTheme="majorEastAsia" w:cstheme="majorEastAsia"/>
                <w:sz w:val="22"/>
                <w:szCs w:val="22"/>
                <w:lang w:val="en-US"/>
              </w:rPr>
            </w:pPr>
            <w:r>
              <w:rPr>
                <w:rFonts w:hint="eastAsia" w:asciiTheme="majorEastAsia" w:hAnsiTheme="majorEastAsia" w:eastAsiaTheme="majorEastAsia" w:cstheme="majorEastAsia"/>
                <w:sz w:val="22"/>
                <w:szCs w:val="22"/>
                <w:lang w:val="en-US" w:eastAsia="zh-CN"/>
              </w:rPr>
              <w:t>3.20</w:t>
            </w:r>
          </w:p>
        </w:tc>
        <w:tc>
          <w:tcPr>
            <w:tcW w:w="930" w:type="dxa"/>
            <w:tcBorders>
              <w:top w:val="single" w:color="000000" w:sz="6" w:space="0"/>
              <w:left w:val="single" w:color="000000" w:sz="6" w:space="0"/>
              <w:bottom w:val="single" w:color="000000" w:sz="6" w:space="0"/>
              <w:right w:val="single" w:color="000000" w:sz="6" w:space="0"/>
            </w:tcBorders>
            <w:vAlign w:val="center"/>
          </w:tcPr>
          <w:p>
            <w:pPr>
              <w:spacing w:after="0" w:line="259" w:lineRule="auto"/>
              <w:ind w:right="50" w:firstLine="0"/>
              <w:jc w:val="right"/>
              <w:rPr>
                <w:rFonts w:hint="eastAsia" w:asciiTheme="majorEastAsia" w:hAnsiTheme="majorEastAsia" w:eastAsiaTheme="majorEastAsia" w:cstheme="majorEastAsia"/>
                <w:sz w:val="22"/>
                <w:szCs w:val="22"/>
                <w:lang w:val="en-US" w:eastAsia="zh-CN"/>
              </w:rPr>
            </w:pPr>
            <w:r>
              <w:rPr>
                <w:rFonts w:hint="eastAsia" w:asciiTheme="majorEastAsia" w:hAnsiTheme="majorEastAsia" w:eastAsiaTheme="majorEastAsia" w:cstheme="majorEastAsia"/>
                <w:sz w:val="22"/>
                <w:szCs w:val="22"/>
                <w:lang w:val="en-US" w:eastAsia="zh-CN"/>
              </w:rPr>
              <w:t>3.20</w:t>
            </w:r>
          </w:p>
        </w:tc>
        <w:tc>
          <w:tcPr>
            <w:tcW w:w="735" w:type="dxa"/>
            <w:tcBorders>
              <w:top w:val="single" w:color="000000" w:sz="6" w:space="0"/>
              <w:left w:val="single" w:color="000000" w:sz="6" w:space="0"/>
              <w:bottom w:val="single" w:color="000000" w:sz="6" w:space="0"/>
              <w:right w:val="single" w:color="000000" w:sz="6" w:space="0"/>
            </w:tcBorders>
          </w:tcPr>
          <w:p>
            <w:pPr>
              <w:spacing w:after="0" w:line="259" w:lineRule="auto"/>
              <w:ind w:right="5" w:firstLine="0"/>
              <w:jc w:val="right"/>
              <w:rPr>
                <w:rFonts w:hint="eastAsia" w:asciiTheme="majorEastAsia" w:hAnsiTheme="majorEastAsia" w:eastAsiaTheme="majorEastAsia" w:cstheme="majorEastAsia"/>
                <w:sz w:val="22"/>
                <w:szCs w:val="22"/>
              </w:rPr>
            </w:pPr>
          </w:p>
        </w:tc>
        <w:tc>
          <w:tcPr>
            <w:tcW w:w="1054" w:type="dxa"/>
            <w:tcBorders>
              <w:top w:val="single" w:color="000000" w:sz="6" w:space="0"/>
              <w:left w:val="single" w:color="000000" w:sz="6" w:space="0"/>
              <w:bottom w:val="single" w:color="000000" w:sz="6" w:space="0"/>
              <w:right w:val="single" w:color="000000" w:sz="6" w:space="0"/>
            </w:tcBorders>
          </w:tcPr>
          <w:p>
            <w:pPr>
              <w:spacing w:after="0" w:line="259" w:lineRule="auto"/>
              <w:ind w:firstLine="0"/>
              <w:jc w:val="right"/>
              <w:rPr>
                <w:rFonts w:hint="eastAsia" w:asciiTheme="majorEastAsia" w:hAnsiTheme="majorEastAsia" w:eastAsiaTheme="majorEastAsia" w:cstheme="majorEastAsia"/>
                <w:sz w:val="22"/>
                <w:szCs w:val="22"/>
              </w:rPr>
            </w:pPr>
          </w:p>
        </w:tc>
        <w:tc>
          <w:tcPr>
            <w:tcW w:w="853" w:type="dxa"/>
            <w:tcBorders>
              <w:top w:val="single" w:color="000000" w:sz="6" w:space="0"/>
              <w:left w:val="single" w:color="000000" w:sz="6" w:space="0"/>
              <w:bottom w:val="single" w:color="000000" w:sz="6" w:space="0"/>
              <w:right w:val="single" w:color="000000" w:sz="6" w:space="0"/>
            </w:tcBorders>
          </w:tcPr>
          <w:p>
            <w:pPr>
              <w:spacing w:after="0" w:line="259" w:lineRule="auto"/>
              <w:ind w:right="53" w:firstLine="0"/>
              <w:jc w:val="center"/>
              <w:rPr>
                <w:rFonts w:hint="eastAsia"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rPr>
              <w:t xml:space="preserve"> </w:t>
            </w:r>
          </w:p>
        </w:tc>
        <w:tc>
          <w:tcPr>
            <w:tcW w:w="837" w:type="dxa"/>
            <w:tcBorders>
              <w:top w:val="single" w:color="000000" w:sz="6" w:space="0"/>
              <w:left w:val="single" w:color="000000" w:sz="6" w:space="0"/>
              <w:bottom w:val="single" w:color="000000" w:sz="6" w:space="0"/>
              <w:right w:val="single" w:color="000000" w:sz="6" w:space="0"/>
            </w:tcBorders>
          </w:tcPr>
          <w:p>
            <w:pPr>
              <w:spacing w:after="0" w:line="259" w:lineRule="auto"/>
              <w:ind w:right="2" w:firstLine="0"/>
              <w:jc w:val="right"/>
              <w:rPr>
                <w:rFonts w:hint="eastAsia" w:asciiTheme="majorEastAsia" w:hAnsiTheme="majorEastAsia" w:eastAsiaTheme="majorEastAsia" w:cstheme="majorEastAsia"/>
                <w:sz w:val="22"/>
                <w:szCs w:val="22"/>
              </w:rPr>
            </w:pPr>
          </w:p>
        </w:tc>
      </w:tr>
      <w:tr>
        <w:tblPrEx>
          <w:tblCellMar>
            <w:top w:w="65" w:type="dxa"/>
            <w:left w:w="108" w:type="dxa"/>
            <w:bottom w:w="0" w:type="dxa"/>
            <w:right w:w="54" w:type="dxa"/>
          </w:tblCellMar>
        </w:tblPrEx>
        <w:trPr>
          <w:trHeight w:val="419" w:hRule="atLeast"/>
        </w:trPr>
        <w:tc>
          <w:tcPr>
            <w:tcW w:w="1988" w:type="dxa"/>
            <w:tcBorders>
              <w:top w:val="single" w:color="000000" w:sz="6" w:space="0"/>
              <w:left w:val="single" w:color="000000" w:sz="6" w:space="0"/>
              <w:bottom w:val="single" w:color="000000" w:sz="6" w:space="0"/>
              <w:right w:val="single" w:color="000000" w:sz="6" w:space="0"/>
            </w:tcBorders>
          </w:tcPr>
          <w:p>
            <w:pPr>
              <w:tabs>
                <w:tab w:val="center" w:pos="879"/>
                <w:tab w:val="center" w:pos="1301"/>
              </w:tabs>
              <w:spacing w:after="0" w:line="259" w:lineRule="auto"/>
              <w:ind w:firstLine="0"/>
              <w:rPr>
                <w:rFonts w:hint="eastAsia" w:asciiTheme="majorEastAsia" w:hAnsiTheme="majorEastAsia" w:eastAsiaTheme="majorEastAsia" w:cstheme="majorEastAsia"/>
                <w:sz w:val="22"/>
                <w:szCs w:val="22"/>
                <w:lang w:eastAsia="zh-CN"/>
              </w:rPr>
            </w:pPr>
            <w:r>
              <w:rPr>
                <w:rFonts w:hint="eastAsia" w:asciiTheme="majorEastAsia" w:hAnsiTheme="majorEastAsia" w:eastAsiaTheme="majorEastAsia" w:cstheme="majorEastAsia"/>
                <w:sz w:val="22"/>
                <w:szCs w:val="22"/>
                <w:lang w:eastAsia="zh-CN"/>
              </w:rPr>
              <w:t>气象综合管理经费</w:t>
            </w:r>
          </w:p>
        </w:tc>
        <w:tc>
          <w:tcPr>
            <w:tcW w:w="1039" w:type="dxa"/>
            <w:tcBorders>
              <w:top w:val="single" w:color="000000" w:sz="6" w:space="0"/>
              <w:left w:val="single" w:color="000000" w:sz="6" w:space="0"/>
              <w:bottom w:val="single" w:color="000000" w:sz="6" w:space="0"/>
              <w:right w:val="single" w:color="000000" w:sz="6" w:space="0"/>
            </w:tcBorders>
          </w:tcPr>
          <w:p>
            <w:pPr>
              <w:spacing w:after="0" w:line="259" w:lineRule="auto"/>
              <w:ind w:firstLine="0"/>
              <w:jc w:val="right"/>
              <w:rPr>
                <w:rFonts w:hint="eastAsia" w:asciiTheme="majorEastAsia" w:hAnsiTheme="majorEastAsia" w:eastAsiaTheme="majorEastAsia" w:cstheme="majorEastAsia"/>
                <w:sz w:val="22"/>
                <w:szCs w:val="22"/>
                <w:lang w:val="en-US" w:eastAsia="zh-CN"/>
              </w:rPr>
            </w:pPr>
            <w:r>
              <w:rPr>
                <w:rFonts w:hint="eastAsia" w:asciiTheme="majorEastAsia" w:hAnsiTheme="majorEastAsia" w:eastAsiaTheme="majorEastAsia" w:cstheme="majorEastAsia"/>
                <w:sz w:val="22"/>
                <w:szCs w:val="22"/>
                <w:lang w:val="en-US" w:eastAsia="zh-CN"/>
              </w:rPr>
              <w:t>30.00</w:t>
            </w:r>
          </w:p>
        </w:tc>
        <w:tc>
          <w:tcPr>
            <w:tcW w:w="1545" w:type="dxa"/>
            <w:tcBorders>
              <w:top w:val="single" w:color="000000" w:sz="6" w:space="0"/>
              <w:left w:val="single" w:color="000000" w:sz="6" w:space="0"/>
              <w:bottom w:val="single" w:color="000000" w:sz="6" w:space="0"/>
              <w:right w:val="single" w:color="000000" w:sz="6" w:space="0"/>
            </w:tcBorders>
          </w:tcPr>
          <w:p>
            <w:pPr>
              <w:spacing w:after="0" w:line="259" w:lineRule="auto"/>
              <w:ind w:firstLine="0"/>
              <w:rPr>
                <w:rFonts w:hint="eastAsia" w:asciiTheme="majorEastAsia" w:hAnsiTheme="majorEastAsia" w:eastAsiaTheme="majorEastAsia" w:cstheme="majorEastAsia"/>
                <w:sz w:val="22"/>
                <w:szCs w:val="22"/>
                <w:lang w:eastAsia="zh-CN"/>
              </w:rPr>
            </w:pPr>
            <w:r>
              <w:rPr>
                <w:rFonts w:hint="eastAsia" w:asciiTheme="majorEastAsia" w:hAnsiTheme="majorEastAsia" w:eastAsiaTheme="majorEastAsia" w:cstheme="majorEastAsia"/>
                <w:sz w:val="22"/>
                <w:szCs w:val="22"/>
                <w:lang w:eastAsia="zh-CN"/>
              </w:rPr>
              <w:t>台式计算机</w:t>
            </w:r>
          </w:p>
        </w:tc>
        <w:tc>
          <w:tcPr>
            <w:tcW w:w="1155" w:type="dxa"/>
            <w:tcBorders>
              <w:top w:val="single" w:color="000000" w:sz="6" w:space="0"/>
              <w:left w:val="single" w:color="000000" w:sz="6" w:space="0"/>
              <w:bottom w:val="single" w:color="000000" w:sz="6" w:space="0"/>
              <w:right w:val="single" w:color="000000" w:sz="6" w:space="0"/>
            </w:tcBorders>
          </w:tcPr>
          <w:p>
            <w:pPr>
              <w:spacing w:after="0" w:line="259" w:lineRule="auto"/>
              <w:ind w:firstLine="0"/>
              <w:rPr>
                <w:rFonts w:hint="eastAsia" w:asciiTheme="majorEastAsia" w:hAnsiTheme="majorEastAsia" w:eastAsiaTheme="majorEastAsia" w:cstheme="majorEastAsia"/>
                <w:sz w:val="22"/>
                <w:szCs w:val="22"/>
                <w:lang w:val="en-US" w:eastAsia="zh-CN"/>
              </w:rPr>
            </w:pPr>
            <w:r>
              <w:rPr>
                <w:rFonts w:hint="eastAsia" w:asciiTheme="majorEastAsia" w:hAnsiTheme="majorEastAsia" w:eastAsiaTheme="majorEastAsia" w:cstheme="majorEastAsia"/>
                <w:sz w:val="22"/>
                <w:szCs w:val="22"/>
              </w:rPr>
              <w:t>A0</w:t>
            </w:r>
            <w:r>
              <w:rPr>
                <w:rFonts w:hint="eastAsia" w:asciiTheme="majorEastAsia" w:hAnsiTheme="majorEastAsia" w:eastAsiaTheme="majorEastAsia" w:cstheme="majorEastAsia"/>
                <w:sz w:val="22"/>
                <w:szCs w:val="22"/>
                <w:lang w:val="en-US" w:eastAsia="zh-CN"/>
              </w:rPr>
              <w:t>2010104</w:t>
            </w:r>
          </w:p>
        </w:tc>
        <w:tc>
          <w:tcPr>
            <w:tcW w:w="765" w:type="dxa"/>
            <w:tcBorders>
              <w:top w:val="single" w:color="000000" w:sz="6" w:space="0"/>
              <w:left w:val="single" w:color="000000" w:sz="6" w:space="0"/>
              <w:bottom w:val="single" w:color="000000" w:sz="6" w:space="0"/>
              <w:right w:val="single" w:color="000000" w:sz="6" w:space="0"/>
            </w:tcBorders>
          </w:tcPr>
          <w:p>
            <w:pPr>
              <w:spacing w:after="0" w:line="259" w:lineRule="auto"/>
              <w:ind w:firstLine="0"/>
              <w:rPr>
                <w:rFonts w:hint="eastAsia" w:asciiTheme="majorEastAsia" w:hAnsiTheme="majorEastAsia" w:eastAsiaTheme="majorEastAsia" w:cstheme="majorEastAsia"/>
                <w:sz w:val="22"/>
                <w:szCs w:val="22"/>
                <w:lang w:eastAsia="zh-CN"/>
              </w:rPr>
            </w:pPr>
            <w:r>
              <w:rPr>
                <w:rFonts w:hint="eastAsia" w:asciiTheme="majorEastAsia" w:hAnsiTheme="majorEastAsia" w:eastAsiaTheme="majorEastAsia" w:cstheme="majorEastAsia"/>
                <w:sz w:val="22"/>
                <w:szCs w:val="22"/>
                <w:lang w:eastAsia="zh-CN"/>
              </w:rPr>
              <w:t>台</w:t>
            </w:r>
          </w:p>
        </w:tc>
        <w:tc>
          <w:tcPr>
            <w:tcW w:w="810" w:type="dxa"/>
            <w:tcBorders>
              <w:top w:val="single" w:color="000000" w:sz="6" w:space="0"/>
              <w:left w:val="single" w:color="000000" w:sz="6" w:space="0"/>
              <w:bottom w:val="single" w:color="000000" w:sz="6" w:space="0"/>
              <w:right w:val="single" w:color="000000" w:sz="6" w:space="0"/>
            </w:tcBorders>
          </w:tcPr>
          <w:p>
            <w:pPr>
              <w:spacing w:after="0" w:line="259" w:lineRule="auto"/>
              <w:ind w:right="5" w:firstLine="0"/>
              <w:jc w:val="right"/>
              <w:rPr>
                <w:rFonts w:hint="eastAsia" w:asciiTheme="majorEastAsia" w:hAnsiTheme="majorEastAsia" w:eastAsiaTheme="majorEastAsia" w:cstheme="majorEastAsia"/>
                <w:sz w:val="22"/>
                <w:szCs w:val="22"/>
                <w:lang w:val="en-US" w:eastAsia="zh-CN"/>
              </w:rPr>
            </w:pPr>
            <w:r>
              <w:rPr>
                <w:rFonts w:hint="eastAsia" w:asciiTheme="majorEastAsia" w:hAnsiTheme="majorEastAsia" w:eastAsiaTheme="majorEastAsia" w:cstheme="majorEastAsia"/>
                <w:sz w:val="22"/>
                <w:szCs w:val="22"/>
                <w:lang w:val="en-US" w:eastAsia="zh-CN"/>
              </w:rPr>
              <w:t>4.00</w:t>
            </w:r>
          </w:p>
        </w:tc>
        <w:tc>
          <w:tcPr>
            <w:tcW w:w="795" w:type="dxa"/>
            <w:tcBorders>
              <w:top w:val="single" w:color="000000" w:sz="6" w:space="0"/>
              <w:left w:val="single" w:color="000000" w:sz="6" w:space="0"/>
              <w:bottom w:val="single" w:color="000000" w:sz="6" w:space="0"/>
              <w:right w:val="single" w:color="000000" w:sz="6" w:space="0"/>
            </w:tcBorders>
          </w:tcPr>
          <w:p>
            <w:pPr>
              <w:spacing w:after="0" w:line="259" w:lineRule="auto"/>
              <w:ind w:right="2" w:firstLine="0"/>
              <w:jc w:val="right"/>
              <w:rPr>
                <w:rFonts w:hint="eastAsia" w:asciiTheme="majorEastAsia" w:hAnsiTheme="majorEastAsia" w:eastAsiaTheme="majorEastAsia" w:cstheme="majorEastAsia"/>
                <w:sz w:val="22"/>
                <w:szCs w:val="22"/>
                <w:lang w:val="en-US" w:eastAsia="zh-CN"/>
              </w:rPr>
            </w:pPr>
            <w:r>
              <w:rPr>
                <w:rFonts w:hint="eastAsia" w:asciiTheme="majorEastAsia" w:hAnsiTheme="majorEastAsia" w:eastAsiaTheme="majorEastAsia" w:cstheme="majorEastAsia"/>
                <w:sz w:val="22"/>
                <w:szCs w:val="22"/>
                <w:lang w:val="en-US" w:eastAsia="zh-CN"/>
              </w:rPr>
              <w:t>0.50</w:t>
            </w:r>
          </w:p>
        </w:tc>
        <w:tc>
          <w:tcPr>
            <w:tcW w:w="945" w:type="dxa"/>
            <w:tcBorders>
              <w:top w:val="single" w:color="000000" w:sz="6" w:space="0"/>
              <w:left w:val="single" w:color="000000" w:sz="6" w:space="0"/>
              <w:bottom w:val="single" w:color="000000" w:sz="6" w:space="0"/>
              <w:right w:val="single" w:color="000000" w:sz="6" w:space="0"/>
            </w:tcBorders>
          </w:tcPr>
          <w:p>
            <w:pPr>
              <w:spacing w:after="0" w:line="259" w:lineRule="auto"/>
              <w:ind w:right="53" w:firstLine="0"/>
              <w:jc w:val="right"/>
              <w:rPr>
                <w:rFonts w:hint="eastAsia" w:asciiTheme="majorEastAsia" w:hAnsiTheme="majorEastAsia" w:eastAsiaTheme="majorEastAsia" w:cstheme="majorEastAsia"/>
                <w:sz w:val="22"/>
                <w:szCs w:val="22"/>
                <w:lang w:val="en-US" w:eastAsia="zh-CN"/>
              </w:rPr>
            </w:pPr>
            <w:r>
              <w:rPr>
                <w:rFonts w:hint="eastAsia" w:asciiTheme="majorEastAsia" w:hAnsiTheme="majorEastAsia" w:eastAsiaTheme="majorEastAsia" w:cstheme="majorEastAsia"/>
                <w:sz w:val="22"/>
                <w:szCs w:val="22"/>
                <w:lang w:val="en-US" w:eastAsia="zh-CN"/>
              </w:rPr>
              <w:t>2.00</w:t>
            </w:r>
          </w:p>
        </w:tc>
        <w:tc>
          <w:tcPr>
            <w:tcW w:w="930" w:type="dxa"/>
            <w:tcBorders>
              <w:top w:val="single" w:color="000000" w:sz="6" w:space="0"/>
              <w:left w:val="single" w:color="000000" w:sz="6" w:space="0"/>
              <w:bottom w:val="single" w:color="000000" w:sz="6" w:space="0"/>
              <w:right w:val="single" w:color="000000" w:sz="6" w:space="0"/>
            </w:tcBorders>
          </w:tcPr>
          <w:p>
            <w:pPr>
              <w:spacing w:after="0" w:line="259" w:lineRule="auto"/>
              <w:ind w:right="50" w:firstLine="0"/>
              <w:jc w:val="right"/>
              <w:rPr>
                <w:rFonts w:hint="eastAsia" w:asciiTheme="majorEastAsia" w:hAnsiTheme="majorEastAsia" w:eastAsiaTheme="majorEastAsia" w:cstheme="majorEastAsia"/>
                <w:sz w:val="22"/>
                <w:szCs w:val="22"/>
                <w:lang w:val="en-US" w:eastAsia="zh-CN"/>
              </w:rPr>
            </w:pPr>
            <w:r>
              <w:rPr>
                <w:rFonts w:hint="eastAsia" w:asciiTheme="majorEastAsia" w:hAnsiTheme="majorEastAsia" w:eastAsiaTheme="majorEastAsia" w:cstheme="majorEastAsia"/>
                <w:sz w:val="22"/>
                <w:szCs w:val="22"/>
                <w:lang w:val="en-US" w:eastAsia="zh-CN"/>
              </w:rPr>
              <w:t>2.00</w:t>
            </w:r>
          </w:p>
        </w:tc>
        <w:tc>
          <w:tcPr>
            <w:tcW w:w="735" w:type="dxa"/>
            <w:tcBorders>
              <w:top w:val="single" w:color="000000" w:sz="6" w:space="0"/>
              <w:left w:val="single" w:color="000000" w:sz="6" w:space="0"/>
              <w:bottom w:val="single" w:color="000000" w:sz="6" w:space="0"/>
              <w:right w:val="single" w:color="000000" w:sz="6" w:space="0"/>
            </w:tcBorders>
          </w:tcPr>
          <w:p>
            <w:pPr>
              <w:spacing w:after="0" w:line="259" w:lineRule="auto"/>
              <w:ind w:right="5" w:firstLine="0"/>
              <w:jc w:val="right"/>
              <w:rPr>
                <w:rFonts w:hint="eastAsia" w:asciiTheme="majorEastAsia" w:hAnsiTheme="majorEastAsia" w:eastAsiaTheme="majorEastAsia" w:cstheme="majorEastAsia"/>
                <w:sz w:val="22"/>
                <w:szCs w:val="22"/>
                <w:lang w:val="en-US"/>
              </w:rPr>
            </w:pPr>
          </w:p>
        </w:tc>
        <w:tc>
          <w:tcPr>
            <w:tcW w:w="1054" w:type="dxa"/>
            <w:tcBorders>
              <w:top w:val="single" w:color="000000" w:sz="6" w:space="0"/>
              <w:left w:val="single" w:color="000000" w:sz="6" w:space="0"/>
              <w:bottom w:val="single" w:color="000000" w:sz="6" w:space="0"/>
              <w:right w:val="single" w:color="000000" w:sz="6" w:space="0"/>
            </w:tcBorders>
          </w:tcPr>
          <w:p>
            <w:pPr>
              <w:spacing w:after="0" w:line="259" w:lineRule="auto"/>
              <w:ind w:firstLine="0"/>
              <w:jc w:val="right"/>
              <w:rPr>
                <w:rFonts w:hint="eastAsia" w:asciiTheme="majorEastAsia" w:hAnsiTheme="majorEastAsia" w:eastAsiaTheme="majorEastAsia" w:cstheme="majorEastAsia"/>
                <w:sz w:val="22"/>
                <w:szCs w:val="22"/>
              </w:rPr>
            </w:pPr>
          </w:p>
        </w:tc>
        <w:tc>
          <w:tcPr>
            <w:tcW w:w="853" w:type="dxa"/>
            <w:tcBorders>
              <w:top w:val="single" w:color="000000" w:sz="6" w:space="0"/>
              <w:left w:val="single" w:color="000000" w:sz="6" w:space="0"/>
              <w:bottom w:val="single" w:color="000000" w:sz="6" w:space="0"/>
              <w:right w:val="single" w:color="000000" w:sz="6" w:space="0"/>
            </w:tcBorders>
          </w:tcPr>
          <w:p>
            <w:pPr>
              <w:spacing w:after="0" w:line="259" w:lineRule="auto"/>
              <w:ind w:right="53" w:firstLine="0"/>
              <w:jc w:val="center"/>
              <w:rPr>
                <w:rFonts w:hint="eastAsia" w:asciiTheme="majorEastAsia" w:hAnsiTheme="majorEastAsia" w:eastAsiaTheme="majorEastAsia" w:cstheme="majorEastAsia"/>
                <w:sz w:val="22"/>
                <w:szCs w:val="22"/>
              </w:rPr>
            </w:pPr>
          </w:p>
        </w:tc>
        <w:tc>
          <w:tcPr>
            <w:tcW w:w="837" w:type="dxa"/>
            <w:tcBorders>
              <w:top w:val="single" w:color="000000" w:sz="6" w:space="0"/>
              <w:left w:val="single" w:color="000000" w:sz="6" w:space="0"/>
              <w:bottom w:val="single" w:color="000000" w:sz="6" w:space="0"/>
              <w:right w:val="single" w:color="000000" w:sz="6" w:space="0"/>
            </w:tcBorders>
          </w:tcPr>
          <w:p>
            <w:pPr>
              <w:spacing w:after="0" w:line="259" w:lineRule="auto"/>
              <w:ind w:right="2" w:firstLine="0"/>
              <w:jc w:val="right"/>
              <w:rPr>
                <w:rFonts w:hint="eastAsia" w:asciiTheme="majorEastAsia" w:hAnsiTheme="majorEastAsia" w:eastAsiaTheme="majorEastAsia" w:cstheme="majorEastAsia"/>
                <w:sz w:val="22"/>
                <w:szCs w:val="22"/>
              </w:rPr>
            </w:pPr>
          </w:p>
        </w:tc>
      </w:tr>
      <w:tr>
        <w:tblPrEx>
          <w:tblCellMar>
            <w:top w:w="65" w:type="dxa"/>
            <w:left w:w="108" w:type="dxa"/>
            <w:bottom w:w="0" w:type="dxa"/>
            <w:right w:w="54" w:type="dxa"/>
          </w:tblCellMar>
        </w:tblPrEx>
        <w:trPr>
          <w:trHeight w:val="315" w:hRule="atLeast"/>
        </w:trPr>
        <w:tc>
          <w:tcPr>
            <w:tcW w:w="1988" w:type="dxa"/>
            <w:tcBorders>
              <w:top w:val="single" w:color="000000" w:sz="6" w:space="0"/>
              <w:left w:val="single" w:color="000000" w:sz="6" w:space="0"/>
              <w:bottom w:val="single" w:color="000000" w:sz="6" w:space="0"/>
              <w:right w:val="single" w:color="000000" w:sz="6" w:space="0"/>
            </w:tcBorders>
          </w:tcPr>
          <w:p>
            <w:pPr>
              <w:tabs>
                <w:tab w:val="center" w:pos="879"/>
                <w:tab w:val="center" w:pos="1301"/>
              </w:tabs>
              <w:spacing w:after="0" w:line="259" w:lineRule="auto"/>
              <w:ind w:firstLine="0"/>
              <w:rPr>
                <w:rFonts w:hint="eastAsia"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lang w:eastAsia="zh-CN"/>
              </w:rPr>
              <w:t>气象综合管理经费</w:t>
            </w:r>
          </w:p>
        </w:tc>
        <w:tc>
          <w:tcPr>
            <w:tcW w:w="1039" w:type="dxa"/>
            <w:tcBorders>
              <w:top w:val="single" w:color="000000" w:sz="6" w:space="0"/>
              <w:left w:val="single" w:color="000000" w:sz="6" w:space="0"/>
              <w:bottom w:val="single" w:color="000000" w:sz="6" w:space="0"/>
              <w:right w:val="single" w:color="000000" w:sz="6" w:space="0"/>
            </w:tcBorders>
          </w:tcPr>
          <w:p>
            <w:pPr>
              <w:spacing w:after="0" w:line="259" w:lineRule="auto"/>
              <w:ind w:firstLine="0"/>
              <w:jc w:val="right"/>
              <w:rPr>
                <w:rFonts w:hint="eastAsia" w:asciiTheme="majorEastAsia" w:hAnsiTheme="majorEastAsia" w:eastAsiaTheme="majorEastAsia" w:cstheme="majorEastAsia"/>
                <w:sz w:val="22"/>
                <w:szCs w:val="22"/>
                <w:lang w:val="en-US" w:eastAsia="zh-CN"/>
              </w:rPr>
            </w:pPr>
            <w:r>
              <w:rPr>
                <w:rFonts w:hint="eastAsia" w:asciiTheme="majorEastAsia" w:hAnsiTheme="majorEastAsia" w:eastAsiaTheme="majorEastAsia" w:cstheme="majorEastAsia"/>
                <w:sz w:val="22"/>
                <w:szCs w:val="22"/>
                <w:lang w:val="en-US" w:eastAsia="zh-CN"/>
              </w:rPr>
              <w:t>30.00</w:t>
            </w:r>
          </w:p>
        </w:tc>
        <w:tc>
          <w:tcPr>
            <w:tcW w:w="1545" w:type="dxa"/>
            <w:tcBorders>
              <w:top w:val="single" w:color="000000" w:sz="6" w:space="0"/>
              <w:left w:val="single" w:color="000000" w:sz="6" w:space="0"/>
              <w:bottom w:val="single" w:color="000000" w:sz="6" w:space="0"/>
              <w:right w:val="single" w:color="000000" w:sz="6" w:space="0"/>
            </w:tcBorders>
          </w:tcPr>
          <w:p>
            <w:pPr>
              <w:spacing w:after="0" w:line="259" w:lineRule="auto"/>
              <w:ind w:firstLine="0"/>
              <w:rPr>
                <w:rFonts w:hint="eastAsia" w:asciiTheme="majorEastAsia" w:hAnsiTheme="majorEastAsia" w:eastAsiaTheme="majorEastAsia" w:cstheme="majorEastAsia"/>
                <w:sz w:val="22"/>
                <w:szCs w:val="22"/>
                <w:lang w:eastAsia="zh-CN"/>
              </w:rPr>
            </w:pPr>
            <w:r>
              <w:rPr>
                <w:rFonts w:hint="eastAsia" w:asciiTheme="majorEastAsia" w:hAnsiTheme="majorEastAsia" w:eastAsiaTheme="majorEastAsia" w:cstheme="majorEastAsia"/>
                <w:sz w:val="22"/>
                <w:szCs w:val="22"/>
                <w:lang w:eastAsia="zh-CN"/>
              </w:rPr>
              <w:t>便携式计算机</w:t>
            </w:r>
          </w:p>
        </w:tc>
        <w:tc>
          <w:tcPr>
            <w:tcW w:w="1155" w:type="dxa"/>
            <w:tcBorders>
              <w:top w:val="single" w:color="000000" w:sz="6" w:space="0"/>
              <w:left w:val="single" w:color="000000" w:sz="6" w:space="0"/>
              <w:bottom w:val="single" w:color="000000" w:sz="6" w:space="0"/>
              <w:right w:val="single" w:color="000000" w:sz="6" w:space="0"/>
            </w:tcBorders>
          </w:tcPr>
          <w:p>
            <w:pPr>
              <w:spacing w:after="0" w:line="259" w:lineRule="auto"/>
              <w:ind w:firstLine="0"/>
              <w:rPr>
                <w:rFonts w:hint="eastAsia"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rPr>
              <w:t>A0</w:t>
            </w:r>
            <w:r>
              <w:rPr>
                <w:rFonts w:hint="eastAsia" w:asciiTheme="majorEastAsia" w:hAnsiTheme="majorEastAsia" w:eastAsiaTheme="majorEastAsia" w:cstheme="majorEastAsia"/>
                <w:sz w:val="22"/>
                <w:szCs w:val="22"/>
                <w:lang w:val="en-US" w:eastAsia="zh-CN"/>
              </w:rPr>
              <w:t>2010104</w:t>
            </w:r>
          </w:p>
        </w:tc>
        <w:tc>
          <w:tcPr>
            <w:tcW w:w="765" w:type="dxa"/>
            <w:tcBorders>
              <w:top w:val="single" w:color="000000" w:sz="6" w:space="0"/>
              <w:left w:val="single" w:color="000000" w:sz="6" w:space="0"/>
              <w:bottom w:val="single" w:color="000000" w:sz="6" w:space="0"/>
              <w:right w:val="single" w:color="000000" w:sz="6" w:space="0"/>
            </w:tcBorders>
          </w:tcPr>
          <w:p>
            <w:pPr>
              <w:spacing w:after="0" w:line="259" w:lineRule="auto"/>
              <w:ind w:firstLine="0"/>
              <w:rPr>
                <w:rFonts w:hint="eastAsia"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lang w:eastAsia="zh-CN"/>
              </w:rPr>
              <w:t>台</w:t>
            </w:r>
          </w:p>
        </w:tc>
        <w:tc>
          <w:tcPr>
            <w:tcW w:w="810" w:type="dxa"/>
            <w:tcBorders>
              <w:top w:val="single" w:color="000000" w:sz="6" w:space="0"/>
              <w:left w:val="single" w:color="000000" w:sz="6" w:space="0"/>
              <w:bottom w:val="single" w:color="000000" w:sz="6" w:space="0"/>
              <w:right w:val="single" w:color="000000" w:sz="6" w:space="0"/>
            </w:tcBorders>
          </w:tcPr>
          <w:p>
            <w:pPr>
              <w:spacing w:after="0" w:line="259" w:lineRule="auto"/>
              <w:ind w:right="5" w:firstLine="0"/>
              <w:jc w:val="right"/>
              <w:rPr>
                <w:rFonts w:hint="eastAsia" w:asciiTheme="majorEastAsia" w:hAnsiTheme="majorEastAsia" w:eastAsiaTheme="majorEastAsia" w:cstheme="majorEastAsia"/>
                <w:sz w:val="22"/>
                <w:szCs w:val="22"/>
                <w:lang w:val="en-US" w:eastAsia="zh-CN"/>
              </w:rPr>
            </w:pPr>
            <w:r>
              <w:rPr>
                <w:rFonts w:hint="eastAsia" w:asciiTheme="majorEastAsia" w:hAnsiTheme="majorEastAsia" w:eastAsiaTheme="majorEastAsia" w:cstheme="majorEastAsia"/>
                <w:sz w:val="22"/>
                <w:szCs w:val="22"/>
                <w:lang w:val="en-US" w:eastAsia="zh-CN"/>
              </w:rPr>
              <w:t>2.00</w:t>
            </w:r>
          </w:p>
        </w:tc>
        <w:tc>
          <w:tcPr>
            <w:tcW w:w="795" w:type="dxa"/>
            <w:tcBorders>
              <w:top w:val="single" w:color="000000" w:sz="6" w:space="0"/>
              <w:left w:val="single" w:color="000000" w:sz="6" w:space="0"/>
              <w:bottom w:val="single" w:color="000000" w:sz="6" w:space="0"/>
              <w:right w:val="single" w:color="000000" w:sz="6" w:space="0"/>
            </w:tcBorders>
          </w:tcPr>
          <w:p>
            <w:pPr>
              <w:spacing w:after="0" w:line="259" w:lineRule="auto"/>
              <w:ind w:right="2" w:firstLine="0"/>
              <w:jc w:val="right"/>
              <w:rPr>
                <w:rFonts w:hint="eastAsia" w:asciiTheme="majorEastAsia" w:hAnsiTheme="majorEastAsia" w:eastAsiaTheme="majorEastAsia" w:cstheme="majorEastAsia"/>
                <w:sz w:val="22"/>
                <w:szCs w:val="22"/>
                <w:lang w:val="en-US" w:eastAsia="zh-CN"/>
              </w:rPr>
            </w:pPr>
            <w:r>
              <w:rPr>
                <w:rFonts w:hint="eastAsia" w:asciiTheme="majorEastAsia" w:hAnsiTheme="majorEastAsia" w:eastAsiaTheme="majorEastAsia" w:cstheme="majorEastAsia"/>
                <w:sz w:val="22"/>
                <w:szCs w:val="22"/>
              </w:rPr>
              <w:t>0.</w:t>
            </w:r>
            <w:r>
              <w:rPr>
                <w:rFonts w:hint="eastAsia" w:asciiTheme="majorEastAsia" w:hAnsiTheme="majorEastAsia" w:eastAsiaTheme="majorEastAsia" w:cstheme="majorEastAsia"/>
                <w:sz w:val="22"/>
                <w:szCs w:val="22"/>
                <w:lang w:val="en-US" w:eastAsia="zh-CN"/>
              </w:rPr>
              <w:t>60</w:t>
            </w:r>
          </w:p>
        </w:tc>
        <w:tc>
          <w:tcPr>
            <w:tcW w:w="945" w:type="dxa"/>
            <w:tcBorders>
              <w:top w:val="single" w:color="000000" w:sz="6" w:space="0"/>
              <w:left w:val="single" w:color="000000" w:sz="6" w:space="0"/>
              <w:bottom w:val="single" w:color="000000" w:sz="6" w:space="0"/>
              <w:right w:val="single" w:color="000000" w:sz="6" w:space="0"/>
            </w:tcBorders>
          </w:tcPr>
          <w:p>
            <w:pPr>
              <w:spacing w:after="0" w:line="259" w:lineRule="auto"/>
              <w:ind w:right="50" w:firstLine="0"/>
              <w:jc w:val="right"/>
              <w:rPr>
                <w:rFonts w:hint="eastAsia" w:asciiTheme="majorEastAsia" w:hAnsiTheme="majorEastAsia" w:eastAsiaTheme="majorEastAsia" w:cstheme="majorEastAsia"/>
                <w:sz w:val="22"/>
                <w:szCs w:val="22"/>
                <w:lang w:val="en-US" w:eastAsia="zh-CN"/>
              </w:rPr>
            </w:pPr>
            <w:r>
              <w:rPr>
                <w:rFonts w:hint="eastAsia" w:asciiTheme="majorEastAsia" w:hAnsiTheme="majorEastAsia" w:eastAsiaTheme="majorEastAsia" w:cstheme="majorEastAsia"/>
                <w:sz w:val="22"/>
                <w:szCs w:val="22"/>
                <w:lang w:val="en-US" w:eastAsia="zh-CN"/>
              </w:rPr>
              <w:t>1.20</w:t>
            </w:r>
          </w:p>
        </w:tc>
        <w:tc>
          <w:tcPr>
            <w:tcW w:w="930" w:type="dxa"/>
            <w:tcBorders>
              <w:top w:val="single" w:color="000000" w:sz="6" w:space="0"/>
              <w:left w:val="single" w:color="000000" w:sz="6" w:space="0"/>
              <w:bottom w:val="single" w:color="000000" w:sz="6" w:space="0"/>
              <w:right w:val="single" w:color="000000" w:sz="6" w:space="0"/>
            </w:tcBorders>
          </w:tcPr>
          <w:p>
            <w:pPr>
              <w:spacing w:after="0" w:line="259" w:lineRule="auto"/>
              <w:ind w:right="50" w:firstLine="0"/>
              <w:jc w:val="right"/>
              <w:rPr>
                <w:rFonts w:hint="eastAsia" w:asciiTheme="majorEastAsia" w:hAnsiTheme="majorEastAsia" w:eastAsiaTheme="majorEastAsia" w:cstheme="majorEastAsia"/>
                <w:sz w:val="22"/>
                <w:szCs w:val="22"/>
                <w:lang w:val="en-US" w:eastAsia="zh-CN"/>
              </w:rPr>
            </w:pPr>
            <w:r>
              <w:rPr>
                <w:rFonts w:hint="eastAsia" w:asciiTheme="majorEastAsia" w:hAnsiTheme="majorEastAsia" w:eastAsiaTheme="majorEastAsia" w:cstheme="majorEastAsia"/>
                <w:sz w:val="22"/>
                <w:szCs w:val="22"/>
                <w:lang w:val="en-US" w:eastAsia="zh-CN"/>
              </w:rPr>
              <w:t>1.20</w:t>
            </w:r>
          </w:p>
        </w:tc>
        <w:tc>
          <w:tcPr>
            <w:tcW w:w="735" w:type="dxa"/>
            <w:tcBorders>
              <w:top w:val="single" w:color="000000" w:sz="6" w:space="0"/>
              <w:left w:val="single" w:color="000000" w:sz="6" w:space="0"/>
              <w:bottom w:val="single" w:color="000000" w:sz="6" w:space="0"/>
              <w:right w:val="single" w:color="000000" w:sz="6" w:space="0"/>
            </w:tcBorders>
          </w:tcPr>
          <w:p>
            <w:pPr>
              <w:spacing w:after="0" w:line="259" w:lineRule="auto"/>
              <w:ind w:right="5" w:firstLine="0"/>
              <w:jc w:val="right"/>
              <w:rPr>
                <w:rFonts w:hint="eastAsia" w:asciiTheme="majorEastAsia" w:hAnsiTheme="majorEastAsia" w:eastAsiaTheme="majorEastAsia" w:cstheme="majorEastAsia"/>
                <w:sz w:val="22"/>
                <w:szCs w:val="22"/>
              </w:rPr>
            </w:pPr>
          </w:p>
        </w:tc>
        <w:tc>
          <w:tcPr>
            <w:tcW w:w="1054" w:type="dxa"/>
            <w:tcBorders>
              <w:top w:val="single" w:color="000000" w:sz="6" w:space="0"/>
              <w:left w:val="single" w:color="000000" w:sz="6" w:space="0"/>
              <w:bottom w:val="single" w:color="000000" w:sz="6" w:space="0"/>
              <w:right w:val="single" w:color="000000" w:sz="6" w:space="0"/>
            </w:tcBorders>
          </w:tcPr>
          <w:p>
            <w:pPr>
              <w:spacing w:after="0" w:line="259" w:lineRule="auto"/>
              <w:ind w:firstLine="0"/>
              <w:jc w:val="right"/>
              <w:rPr>
                <w:rFonts w:hint="eastAsia" w:asciiTheme="majorEastAsia" w:hAnsiTheme="majorEastAsia" w:eastAsiaTheme="majorEastAsia" w:cstheme="majorEastAsia"/>
                <w:sz w:val="22"/>
                <w:szCs w:val="22"/>
              </w:rPr>
            </w:pPr>
          </w:p>
        </w:tc>
        <w:tc>
          <w:tcPr>
            <w:tcW w:w="853" w:type="dxa"/>
            <w:tcBorders>
              <w:top w:val="single" w:color="000000" w:sz="6" w:space="0"/>
              <w:left w:val="single" w:color="000000" w:sz="6" w:space="0"/>
              <w:bottom w:val="single" w:color="000000" w:sz="6" w:space="0"/>
              <w:right w:val="single" w:color="000000" w:sz="6" w:space="0"/>
            </w:tcBorders>
          </w:tcPr>
          <w:p>
            <w:pPr>
              <w:spacing w:after="0" w:line="259" w:lineRule="auto"/>
              <w:ind w:right="53" w:firstLine="0"/>
              <w:jc w:val="center"/>
              <w:rPr>
                <w:rFonts w:hint="eastAsia" w:asciiTheme="majorEastAsia" w:hAnsiTheme="majorEastAsia" w:eastAsiaTheme="majorEastAsia" w:cstheme="majorEastAsia"/>
                <w:sz w:val="22"/>
                <w:szCs w:val="22"/>
              </w:rPr>
            </w:pPr>
          </w:p>
        </w:tc>
        <w:tc>
          <w:tcPr>
            <w:tcW w:w="837" w:type="dxa"/>
            <w:tcBorders>
              <w:top w:val="single" w:color="000000" w:sz="6" w:space="0"/>
              <w:left w:val="single" w:color="000000" w:sz="6" w:space="0"/>
              <w:bottom w:val="single" w:color="000000" w:sz="6" w:space="0"/>
              <w:right w:val="single" w:color="000000" w:sz="6" w:space="0"/>
            </w:tcBorders>
          </w:tcPr>
          <w:p>
            <w:pPr>
              <w:spacing w:after="0" w:line="259" w:lineRule="auto"/>
              <w:ind w:right="2" w:firstLine="0"/>
              <w:jc w:val="right"/>
              <w:rPr>
                <w:rFonts w:hint="eastAsia" w:asciiTheme="majorEastAsia" w:hAnsiTheme="majorEastAsia" w:eastAsiaTheme="majorEastAsia" w:cstheme="majorEastAsia"/>
                <w:sz w:val="22"/>
                <w:szCs w:val="22"/>
              </w:rPr>
            </w:pPr>
          </w:p>
        </w:tc>
      </w:tr>
    </w:tbl>
    <w:p>
      <w:pPr>
        <w:numPr>
          <w:ilvl w:val="0"/>
          <w:numId w:val="0"/>
        </w:numPr>
        <w:spacing w:after="194" w:line="259" w:lineRule="auto"/>
        <w:ind w:left="838" w:leftChars="0" w:right="8665" w:rightChars="0"/>
        <w:rPr>
          <w:rFonts w:ascii="仿宋" w:hAnsi="仿宋" w:eastAsia="仿宋"/>
          <w:b/>
          <w:szCs w:val="32"/>
        </w:rPr>
      </w:pPr>
    </w:p>
    <w:p>
      <w:pPr>
        <w:pStyle w:val="10"/>
        <w:numPr>
          <w:ilvl w:val="0"/>
          <w:numId w:val="0"/>
        </w:numPr>
        <w:spacing w:after="10" w:line="378" w:lineRule="auto"/>
        <w:ind w:left="626" w:leftChars="0" w:right="8665" w:rightChars="0"/>
        <w:rPr>
          <w:rFonts w:hint="eastAsia" w:ascii="黑体" w:hAnsi="黑体" w:eastAsia="黑体"/>
          <w:szCs w:val="32"/>
          <w:lang w:val="en-US" w:eastAsia="zh-CN"/>
        </w:rPr>
      </w:pPr>
      <w:r>
        <w:rPr>
          <w:rFonts w:hint="eastAsia" w:ascii="黑体" w:hAnsi="黑体" w:eastAsia="黑体"/>
          <w:szCs w:val="32"/>
          <w:lang w:val="en-US" w:eastAsia="zh-CN"/>
        </w:rPr>
        <w:t>六、国有资产信息</w:t>
      </w:r>
    </w:p>
    <w:p>
      <w:pPr>
        <w:spacing w:after="244" w:line="382" w:lineRule="auto"/>
        <w:rPr>
          <w:rFonts w:hint="eastAsia" w:ascii="仿宋" w:hAnsi="仿宋" w:eastAsia="仿宋"/>
          <w:szCs w:val="32"/>
        </w:rPr>
      </w:pPr>
      <w:r>
        <w:rPr>
          <w:rFonts w:hint="eastAsia" w:ascii="仿宋" w:hAnsi="仿宋" w:eastAsia="仿宋"/>
          <w:szCs w:val="32"/>
        </w:rPr>
        <w:t>我部门</w:t>
      </w:r>
      <w:r>
        <w:rPr>
          <w:rFonts w:ascii="仿宋" w:hAnsi="仿宋" w:eastAsia="仿宋"/>
          <w:szCs w:val="32"/>
        </w:rPr>
        <w:t>上年末固定资产金额为</w:t>
      </w:r>
      <w:r>
        <w:rPr>
          <w:rFonts w:hint="eastAsia" w:ascii="仿宋" w:hAnsi="仿宋" w:eastAsia="仿宋"/>
          <w:szCs w:val="32"/>
          <w:lang w:val="en-US" w:eastAsia="zh-CN"/>
        </w:rPr>
        <w:t>4401.34</w:t>
      </w:r>
      <w:r>
        <w:rPr>
          <w:rFonts w:ascii="仿宋" w:hAnsi="仿宋" w:eastAsia="仿宋"/>
          <w:szCs w:val="32"/>
        </w:rPr>
        <w:t>万元，本年度各单位（处室）拟购置固定资产总额为</w:t>
      </w:r>
      <w:r>
        <w:rPr>
          <w:rFonts w:hint="eastAsia" w:ascii="仿宋" w:hAnsi="仿宋" w:eastAsia="仿宋" w:cs="Times New Roman"/>
          <w:szCs w:val="32"/>
          <w:lang w:val="en-US" w:eastAsia="zh-CN"/>
        </w:rPr>
        <w:t>3.20</w:t>
      </w:r>
      <w:r>
        <w:rPr>
          <w:rFonts w:ascii="仿宋" w:hAnsi="仿宋" w:eastAsia="仿宋"/>
          <w:szCs w:val="32"/>
        </w:rPr>
        <w:t>万元，主要为计算机设备</w:t>
      </w:r>
      <w:r>
        <w:rPr>
          <w:rFonts w:hint="eastAsia" w:ascii="仿宋" w:hAnsi="仿宋" w:eastAsia="仿宋"/>
          <w:szCs w:val="32"/>
          <w:lang w:val="en-US" w:eastAsia="zh-CN"/>
        </w:rPr>
        <w:t>3.20</w:t>
      </w:r>
      <w:r>
        <w:rPr>
          <w:rFonts w:hint="eastAsia" w:ascii="仿宋" w:hAnsi="仿宋" w:eastAsia="仿宋"/>
          <w:szCs w:val="32"/>
        </w:rPr>
        <w:t>万元</w:t>
      </w:r>
      <w:r>
        <w:rPr>
          <w:rFonts w:ascii="仿宋" w:hAnsi="仿宋" w:eastAsia="仿宋"/>
          <w:szCs w:val="32"/>
        </w:rPr>
        <w:t>，已列入政府采购预</w:t>
      </w:r>
      <w:r>
        <w:rPr>
          <w:rFonts w:hint="eastAsia" w:ascii="仿宋" w:hAnsi="仿宋" w:eastAsia="仿宋"/>
          <w:szCs w:val="32"/>
        </w:rPr>
        <w:t>算，详见政府采购预算表。</w:t>
      </w:r>
    </w:p>
    <w:p>
      <w:pPr>
        <w:spacing w:after="244" w:line="382" w:lineRule="auto"/>
        <w:ind w:left="-15" w:firstLine="641"/>
        <w:jc w:val="center"/>
        <w:rPr>
          <w:rFonts w:ascii="仿宋" w:hAnsi="仿宋" w:eastAsia="仿宋"/>
          <w:szCs w:val="32"/>
        </w:rPr>
      </w:pPr>
      <w:r>
        <w:rPr>
          <w:rFonts w:hint="eastAsia" w:ascii="仿宋" w:hAnsi="仿宋" w:eastAsia="仿宋"/>
          <w:szCs w:val="32"/>
        </w:rPr>
        <w:t>秦皇岛市市</w:t>
      </w:r>
      <w:r>
        <w:rPr>
          <w:rFonts w:ascii="仿宋" w:hAnsi="仿宋" w:eastAsia="仿宋"/>
          <w:szCs w:val="32"/>
        </w:rPr>
        <w:t>直部门固定资产占用情况表</w:t>
      </w:r>
    </w:p>
    <w:p>
      <w:pPr>
        <w:tabs>
          <w:tab w:val="center" w:pos="9932"/>
        </w:tabs>
        <w:spacing w:after="0" w:line="259" w:lineRule="auto"/>
        <w:ind w:firstLine="0"/>
        <w:rPr>
          <w:rFonts w:ascii="仿宋" w:hAnsi="仿宋" w:eastAsia="仿宋"/>
          <w:szCs w:val="32"/>
        </w:rPr>
      </w:pPr>
      <w:r>
        <w:rPr>
          <w:rFonts w:ascii="仿宋" w:hAnsi="仿宋" w:eastAsia="仿宋"/>
          <w:szCs w:val="32"/>
        </w:rPr>
        <w:t>编制部门：</w:t>
      </w:r>
      <w:r>
        <w:rPr>
          <w:rFonts w:hint="eastAsia" w:ascii="仿宋" w:hAnsi="仿宋" w:eastAsia="仿宋"/>
          <w:szCs w:val="32"/>
        </w:rPr>
        <w:t>秦皇岛市气象局</w:t>
      </w:r>
      <w:r>
        <w:rPr>
          <w:rFonts w:ascii="仿宋" w:hAnsi="仿宋" w:eastAsia="仿宋"/>
          <w:szCs w:val="32"/>
        </w:rPr>
        <w:tab/>
      </w:r>
      <w:r>
        <w:rPr>
          <w:rFonts w:ascii="仿宋" w:hAnsi="仿宋" w:eastAsia="仿宋"/>
          <w:szCs w:val="32"/>
        </w:rPr>
        <w:t>截止时间：201</w:t>
      </w:r>
      <w:r>
        <w:rPr>
          <w:rFonts w:hint="eastAsia" w:ascii="仿宋" w:hAnsi="仿宋" w:eastAsia="仿宋"/>
          <w:szCs w:val="32"/>
          <w:lang w:val="en-US" w:eastAsia="zh-CN"/>
        </w:rPr>
        <w:t>9</w:t>
      </w:r>
      <w:r>
        <w:rPr>
          <w:rFonts w:ascii="仿宋" w:hAnsi="仿宋" w:eastAsia="仿宋"/>
          <w:szCs w:val="32"/>
        </w:rPr>
        <w:t>年12月31日</w:t>
      </w:r>
    </w:p>
    <w:tbl>
      <w:tblPr>
        <w:tblStyle w:val="8"/>
        <w:tblW w:w="13483" w:type="dxa"/>
        <w:tblInd w:w="-14" w:type="dxa"/>
        <w:tblLayout w:type="fixed"/>
        <w:tblCellMar>
          <w:top w:w="0" w:type="dxa"/>
          <w:left w:w="108" w:type="dxa"/>
          <w:bottom w:w="0" w:type="dxa"/>
          <w:right w:w="115" w:type="dxa"/>
        </w:tblCellMar>
      </w:tblPr>
      <w:tblGrid>
        <w:gridCol w:w="5084"/>
        <w:gridCol w:w="3296"/>
        <w:gridCol w:w="5103"/>
      </w:tblGrid>
      <w:tr>
        <w:tblPrEx>
          <w:tblCellMar>
            <w:top w:w="0" w:type="dxa"/>
            <w:left w:w="108" w:type="dxa"/>
            <w:bottom w:w="0" w:type="dxa"/>
            <w:right w:w="115" w:type="dxa"/>
          </w:tblCellMar>
        </w:tblPrEx>
        <w:trPr>
          <w:trHeight w:val="656" w:hRule="atLeast"/>
        </w:trPr>
        <w:tc>
          <w:tcPr>
            <w:tcW w:w="5084" w:type="dxa"/>
            <w:tcBorders>
              <w:top w:val="single" w:color="000000" w:sz="4" w:space="0"/>
              <w:left w:val="single" w:color="000000" w:sz="4" w:space="0"/>
              <w:bottom w:val="single" w:color="000000" w:sz="4" w:space="0"/>
              <w:right w:val="single" w:color="000000" w:sz="4" w:space="0"/>
            </w:tcBorders>
            <w:vAlign w:val="center"/>
          </w:tcPr>
          <w:p>
            <w:pPr>
              <w:spacing w:after="0" w:line="259" w:lineRule="auto"/>
              <w:ind w:left="7" w:firstLine="0"/>
              <w:jc w:val="center"/>
              <w:rPr>
                <w:rFonts w:ascii="仿宋" w:hAnsi="仿宋" w:eastAsia="仿宋"/>
                <w:szCs w:val="32"/>
              </w:rPr>
            </w:pPr>
            <w:r>
              <w:rPr>
                <w:rFonts w:ascii="仿宋" w:hAnsi="仿宋" w:eastAsia="仿宋"/>
                <w:szCs w:val="32"/>
              </w:rPr>
              <w:t>项目</w:t>
            </w:r>
          </w:p>
        </w:tc>
        <w:tc>
          <w:tcPr>
            <w:tcW w:w="3296" w:type="dxa"/>
            <w:tcBorders>
              <w:top w:val="single" w:color="000000" w:sz="4" w:space="0"/>
              <w:left w:val="single" w:color="000000" w:sz="4" w:space="0"/>
              <w:bottom w:val="single" w:color="000000" w:sz="4" w:space="0"/>
              <w:right w:val="single" w:color="000000" w:sz="4" w:space="0"/>
            </w:tcBorders>
            <w:vAlign w:val="center"/>
          </w:tcPr>
          <w:p>
            <w:pPr>
              <w:spacing w:after="0" w:line="259" w:lineRule="auto"/>
              <w:ind w:left="4" w:firstLine="0"/>
              <w:jc w:val="center"/>
              <w:rPr>
                <w:rFonts w:ascii="仿宋" w:hAnsi="仿宋" w:eastAsia="仿宋"/>
                <w:szCs w:val="32"/>
              </w:rPr>
            </w:pPr>
            <w:r>
              <w:rPr>
                <w:rFonts w:ascii="仿宋" w:hAnsi="仿宋" w:eastAsia="仿宋"/>
                <w:szCs w:val="32"/>
              </w:rPr>
              <w:t>数量</w:t>
            </w:r>
          </w:p>
        </w:tc>
        <w:tc>
          <w:tcPr>
            <w:tcW w:w="5103" w:type="dxa"/>
            <w:tcBorders>
              <w:top w:val="single" w:color="000000" w:sz="4" w:space="0"/>
              <w:left w:val="single" w:color="000000" w:sz="4" w:space="0"/>
              <w:bottom w:val="single" w:color="000000" w:sz="4" w:space="0"/>
              <w:right w:val="single" w:color="000000" w:sz="4" w:space="0"/>
            </w:tcBorders>
            <w:vAlign w:val="center"/>
          </w:tcPr>
          <w:p>
            <w:pPr>
              <w:spacing w:after="0" w:line="259" w:lineRule="auto"/>
              <w:ind w:left="6" w:firstLine="0"/>
              <w:jc w:val="center"/>
              <w:rPr>
                <w:rFonts w:ascii="仿宋" w:hAnsi="仿宋" w:eastAsia="仿宋"/>
                <w:szCs w:val="32"/>
              </w:rPr>
            </w:pPr>
            <w:r>
              <w:rPr>
                <w:rFonts w:ascii="仿宋" w:hAnsi="仿宋" w:eastAsia="仿宋"/>
                <w:szCs w:val="32"/>
              </w:rPr>
              <w:t>价值（金额单位：万元）</w:t>
            </w:r>
          </w:p>
        </w:tc>
      </w:tr>
      <w:tr>
        <w:tblPrEx>
          <w:tblCellMar>
            <w:top w:w="0" w:type="dxa"/>
            <w:left w:w="108" w:type="dxa"/>
            <w:bottom w:w="0" w:type="dxa"/>
            <w:right w:w="115" w:type="dxa"/>
          </w:tblCellMar>
        </w:tblPrEx>
        <w:trPr>
          <w:trHeight w:val="655" w:hRule="atLeast"/>
        </w:trPr>
        <w:tc>
          <w:tcPr>
            <w:tcW w:w="5084" w:type="dxa"/>
            <w:tcBorders>
              <w:top w:val="single" w:color="000000" w:sz="4" w:space="0"/>
              <w:left w:val="single" w:color="000000" w:sz="4" w:space="0"/>
              <w:bottom w:val="single" w:color="000000" w:sz="4" w:space="0"/>
              <w:right w:val="single" w:color="000000" w:sz="4" w:space="0"/>
            </w:tcBorders>
            <w:vAlign w:val="center"/>
          </w:tcPr>
          <w:p>
            <w:pPr>
              <w:spacing w:after="0" w:line="259" w:lineRule="auto"/>
              <w:ind w:left="12" w:firstLine="0"/>
              <w:jc w:val="center"/>
              <w:rPr>
                <w:rFonts w:ascii="仿宋" w:hAnsi="仿宋" w:eastAsia="仿宋"/>
                <w:szCs w:val="32"/>
              </w:rPr>
            </w:pPr>
            <w:r>
              <w:rPr>
                <w:rFonts w:hint="eastAsia" w:ascii="仿宋" w:hAnsi="仿宋" w:eastAsia="仿宋"/>
                <w:szCs w:val="32"/>
                <w:lang w:eastAsia="zh-CN"/>
              </w:rPr>
              <w:t>固定</w:t>
            </w:r>
            <w:r>
              <w:rPr>
                <w:rFonts w:ascii="仿宋" w:hAnsi="仿宋" w:eastAsia="仿宋"/>
                <w:szCs w:val="32"/>
              </w:rPr>
              <w:t>资产总额</w:t>
            </w:r>
          </w:p>
        </w:tc>
        <w:tc>
          <w:tcPr>
            <w:tcW w:w="3296" w:type="dxa"/>
            <w:tcBorders>
              <w:top w:val="single" w:color="000000" w:sz="4" w:space="0"/>
              <w:left w:val="single" w:color="000000" w:sz="4" w:space="0"/>
              <w:bottom w:val="single" w:color="000000" w:sz="4" w:space="0"/>
              <w:right w:val="single" w:color="000000" w:sz="4" w:space="0"/>
            </w:tcBorders>
            <w:vAlign w:val="center"/>
          </w:tcPr>
          <w:p>
            <w:pPr>
              <w:spacing w:after="0" w:line="259" w:lineRule="auto"/>
              <w:ind w:left="9" w:firstLine="0"/>
              <w:jc w:val="center"/>
              <w:rPr>
                <w:rFonts w:ascii="仿宋" w:hAnsi="仿宋" w:eastAsia="仿宋"/>
                <w:szCs w:val="32"/>
              </w:rPr>
            </w:pPr>
            <w:r>
              <w:rPr>
                <w:rFonts w:ascii="仿宋" w:hAnsi="仿宋" w:eastAsia="仿宋"/>
                <w:szCs w:val="32"/>
              </w:rPr>
              <w:t xml:space="preserve">—— </w:t>
            </w:r>
          </w:p>
        </w:tc>
        <w:tc>
          <w:tcPr>
            <w:tcW w:w="5103" w:type="dxa"/>
            <w:tcBorders>
              <w:top w:val="single" w:color="000000" w:sz="4" w:space="0"/>
              <w:left w:val="single" w:color="000000" w:sz="4" w:space="0"/>
              <w:bottom w:val="single" w:color="000000" w:sz="4" w:space="0"/>
              <w:right w:val="single" w:color="000000" w:sz="4" w:space="0"/>
            </w:tcBorders>
            <w:vAlign w:val="center"/>
          </w:tcPr>
          <w:p>
            <w:pPr>
              <w:spacing w:after="0" w:line="259" w:lineRule="auto"/>
              <w:ind w:left="7" w:firstLine="0"/>
              <w:jc w:val="center"/>
              <w:rPr>
                <w:rFonts w:hint="eastAsia" w:ascii="仿宋" w:hAnsi="仿宋" w:eastAsia="仿宋"/>
                <w:szCs w:val="32"/>
                <w:lang w:val="en-US" w:eastAsia="zh-CN"/>
              </w:rPr>
            </w:pPr>
            <w:r>
              <w:rPr>
                <w:rFonts w:hint="eastAsia" w:ascii="仿宋" w:hAnsi="仿宋" w:eastAsia="仿宋"/>
                <w:szCs w:val="32"/>
                <w:lang w:val="en-US" w:eastAsia="zh-CN"/>
              </w:rPr>
              <w:t>4401.34</w:t>
            </w:r>
          </w:p>
        </w:tc>
      </w:tr>
      <w:tr>
        <w:tblPrEx>
          <w:tblCellMar>
            <w:top w:w="0" w:type="dxa"/>
            <w:left w:w="108" w:type="dxa"/>
            <w:bottom w:w="0" w:type="dxa"/>
            <w:right w:w="115" w:type="dxa"/>
          </w:tblCellMar>
        </w:tblPrEx>
        <w:trPr>
          <w:trHeight w:val="655" w:hRule="atLeast"/>
        </w:trPr>
        <w:tc>
          <w:tcPr>
            <w:tcW w:w="5084" w:type="dxa"/>
            <w:tcBorders>
              <w:top w:val="single" w:color="000000" w:sz="4" w:space="0"/>
              <w:left w:val="single" w:color="000000" w:sz="4" w:space="0"/>
              <w:bottom w:val="single" w:color="000000" w:sz="4" w:space="0"/>
              <w:right w:val="single" w:color="000000" w:sz="4" w:space="0"/>
            </w:tcBorders>
            <w:vAlign w:val="center"/>
          </w:tcPr>
          <w:p>
            <w:pPr>
              <w:spacing w:after="0" w:line="259" w:lineRule="auto"/>
              <w:ind w:firstLine="0"/>
              <w:rPr>
                <w:rFonts w:ascii="仿宋" w:hAnsi="仿宋" w:eastAsia="仿宋"/>
                <w:szCs w:val="32"/>
              </w:rPr>
            </w:pPr>
            <w:r>
              <w:rPr>
                <w:rFonts w:ascii="仿宋" w:hAnsi="仿宋" w:eastAsia="仿宋"/>
                <w:szCs w:val="32"/>
              </w:rPr>
              <w:t>1、房屋（平方米）</w:t>
            </w:r>
          </w:p>
        </w:tc>
        <w:tc>
          <w:tcPr>
            <w:tcW w:w="3296" w:type="dxa"/>
            <w:tcBorders>
              <w:top w:val="single" w:color="000000" w:sz="4" w:space="0"/>
              <w:left w:val="single" w:color="000000" w:sz="4" w:space="0"/>
              <w:bottom w:val="single" w:color="000000" w:sz="4" w:space="0"/>
              <w:right w:val="single" w:color="000000" w:sz="4" w:space="0"/>
            </w:tcBorders>
            <w:vAlign w:val="center"/>
          </w:tcPr>
          <w:p>
            <w:pPr>
              <w:spacing w:after="0" w:line="259" w:lineRule="auto"/>
              <w:ind w:left="9" w:firstLine="0"/>
              <w:jc w:val="center"/>
              <w:rPr>
                <w:rFonts w:hint="eastAsia" w:ascii="仿宋" w:hAnsi="仿宋" w:eastAsia="仿宋"/>
                <w:szCs w:val="32"/>
                <w:lang w:val="en-US" w:eastAsia="zh-CN"/>
              </w:rPr>
            </w:pPr>
            <w:r>
              <w:rPr>
                <w:rFonts w:hint="eastAsia" w:ascii="仿宋" w:hAnsi="仿宋" w:eastAsia="仿宋"/>
                <w:szCs w:val="32"/>
              </w:rPr>
              <w:t>3</w:t>
            </w:r>
            <w:r>
              <w:rPr>
                <w:rFonts w:hint="eastAsia" w:ascii="仿宋" w:hAnsi="仿宋" w:eastAsia="仿宋"/>
                <w:szCs w:val="32"/>
                <w:lang w:val="en-US" w:eastAsia="zh-CN"/>
              </w:rPr>
              <w:t>778.11</w:t>
            </w:r>
          </w:p>
        </w:tc>
        <w:tc>
          <w:tcPr>
            <w:tcW w:w="5103" w:type="dxa"/>
            <w:tcBorders>
              <w:top w:val="single" w:color="000000" w:sz="4" w:space="0"/>
              <w:left w:val="single" w:color="000000" w:sz="4" w:space="0"/>
              <w:bottom w:val="single" w:color="000000" w:sz="4" w:space="0"/>
              <w:right w:val="single" w:color="000000" w:sz="4" w:space="0"/>
            </w:tcBorders>
            <w:vAlign w:val="center"/>
          </w:tcPr>
          <w:p>
            <w:pPr>
              <w:spacing w:after="0" w:line="259" w:lineRule="auto"/>
              <w:ind w:left="7" w:firstLine="0"/>
              <w:jc w:val="center"/>
              <w:rPr>
                <w:rFonts w:ascii="仿宋" w:hAnsi="仿宋" w:eastAsia="仿宋"/>
                <w:szCs w:val="32"/>
              </w:rPr>
            </w:pPr>
            <w:r>
              <w:rPr>
                <w:rFonts w:hint="eastAsia" w:ascii="仿宋" w:hAnsi="仿宋" w:eastAsia="仿宋"/>
                <w:szCs w:val="32"/>
              </w:rPr>
              <w:t>2500</w:t>
            </w:r>
          </w:p>
        </w:tc>
      </w:tr>
      <w:tr>
        <w:tblPrEx>
          <w:tblCellMar>
            <w:top w:w="0" w:type="dxa"/>
            <w:left w:w="108" w:type="dxa"/>
            <w:bottom w:w="0" w:type="dxa"/>
            <w:right w:w="115" w:type="dxa"/>
          </w:tblCellMar>
        </w:tblPrEx>
        <w:trPr>
          <w:trHeight w:val="655" w:hRule="atLeast"/>
        </w:trPr>
        <w:tc>
          <w:tcPr>
            <w:tcW w:w="5084" w:type="dxa"/>
            <w:tcBorders>
              <w:top w:val="single" w:color="000000" w:sz="4" w:space="0"/>
              <w:left w:val="single" w:color="000000" w:sz="4" w:space="0"/>
              <w:bottom w:val="single" w:color="000000" w:sz="4" w:space="0"/>
              <w:right w:val="single" w:color="000000" w:sz="4" w:space="0"/>
            </w:tcBorders>
            <w:vAlign w:val="center"/>
          </w:tcPr>
          <w:p>
            <w:pPr>
              <w:spacing w:after="0" w:line="259" w:lineRule="auto"/>
              <w:ind w:firstLine="0"/>
              <w:rPr>
                <w:rFonts w:ascii="仿宋" w:hAnsi="仿宋" w:eastAsia="仿宋"/>
                <w:szCs w:val="32"/>
              </w:rPr>
            </w:pPr>
            <w:r>
              <w:rPr>
                <w:rFonts w:ascii="仿宋" w:hAnsi="仿宋" w:eastAsia="仿宋"/>
                <w:szCs w:val="32"/>
              </w:rPr>
              <w:t>其中：办公用房（平方米）</w:t>
            </w:r>
          </w:p>
        </w:tc>
        <w:tc>
          <w:tcPr>
            <w:tcW w:w="3296" w:type="dxa"/>
            <w:tcBorders>
              <w:top w:val="single" w:color="000000" w:sz="4" w:space="0"/>
              <w:left w:val="single" w:color="000000" w:sz="4" w:space="0"/>
              <w:bottom w:val="single" w:color="000000" w:sz="4" w:space="0"/>
              <w:right w:val="single" w:color="000000" w:sz="4" w:space="0"/>
            </w:tcBorders>
            <w:vAlign w:val="center"/>
          </w:tcPr>
          <w:p>
            <w:pPr>
              <w:spacing w:after="0" w:line="259" w:lineRule="auto"/>
              <w:ind w:left="9" w:firstLine="0"/>
              <w:jc w:val="center"/>
              <w:rPr>
                <w:rFonts w:ascii="仿宋" w:hAnsi="仿宋" w:eastAsia="仿宋"/>
                <w:szCs w:val="32"/>
              </w:rPr>
            </w:pPr>
          </w:p>
        </w:tc>
        <w:tc>
          <w:tcPr>
            <w:tcW w:w="5103" w:type="dxa"/>
            <w:tcBorders>
              <w:top w:val="single" w:color="000000" w:sz="4" w:space="0"/>
              <w:left w:val="single" w:color="000000" w:sz="4" w:space="0"/>
              <w:bottom w:val="single" w:color="000000" w:sz="4" w:space="0"/>
              <w:right w:val="single" w:color="000000" w:sz="4" w:space="0"/>
            </w:tcBorders>
            <w:vAlign w:val="center"/>
          </w:tcPr>
          <w:p>
            <w:pPr>
              <w:spacing w:after="0" w:line="259" w:lineRule="auto"/>
              <w:ind w:left="7" w:firstLine="0"/>
              <w:jc w:val="center"/>
              <w:rPr>
                <w:rFonts w:ascii="仿宋" w:hAnsi="仿宋" w:eastAsia="仿宋"/>
                <w:szCs w:val="32"/>
              </w:rPr>
            </w:pPr>
          </w:p>
        </w:tc>
      </w:tr>
      <w:tr>
        <w:tblPrEx>
          <w:tblCellMar>
            <w:top w:w="0" w:type="dxa"/>
            <w:left w:w="108" w:type="dxa"/>
            <w:bottom w:w="0" w:type="dxa"/>
            <w:right w:w="115" w:type="dxa"/>
          </w:tblCellMar>
        </w:tblPrEx>
        <w:trPr>
          <w:trHeight w:val="656" w:hRule="atLeast"/>
        </w:trPr>
        <w:tc>
          <w:tcPr>
            <w:tcW w:w="5084" w:type="dxa"/>
            <w:tcBorders>
              <w:top w:val="single" w:color="000000" w:sz="4" w:space="0"/>
              <w:left w:val="single" w:color="000000" w:sz="4" w:space="0"/>
              <w:bottom w:val="single" w:color="000000" w:sz="4" w:space="0"/>
              <w:right w:val="single" w:color="000000" w:sz="4" w:space="0"/>
            </w:tcBorders>
            <w:vAlign w:val="center"/>
          </w:tcPr>
          <w:p>
            <w:pPr>
              <w:spacing w:after="0" w:line="259" w:lineRule="auto"/>
              <w:ind w:firstLine="0"/>
              <w:rPr>
                <w:rFonts w:ascii="仿宋" w:hAnsi="仿宋" w:eastAsia="仿宋"/>
                <w:szCs w:val="32"/>
              </w:rPr>
            </w:pPr>
            <w:r>
              <w:rPr>
                <w:rFonts w:ascii="仿宋" w:hAnsi="仿宋" w:eastAsia="仿宋"/>
                <w:szCs w:val="32"/>
              </w:rPr>
              <w:t>2、车辆（台、辆）</w:t>
            </w:r>
          </w:p>
        </w:tc>
        <w:tc>
          <w:tcPr>
            <w:tcW w:w="3296" w:type="dxa"/>
            <w:tcBorders>
              <w:top w:val="single" w:color="000000" w:sz="4" w:space="0"/>
              <w:left w:val="single" w:color="000000" w:sz="4" w:space="0"/>
              <w:bottom w:val="single" w:color="000000" w:sz="4" w:space="0"/>
              <w:right w:val="single" w:color="000000" w:sz="4" w:space="0"/>
            </w:tcBorders>
            <w:vAlign w:val="center"/>
          </w:tcPr>
          <w:p>
            <w:pPr>
              <w:spacing w:after="0" w:line="259" w:lineRule="auto"/>
              <w:ind w:left="5" w:firstLine="0"/>
              <w:jc w:val="center"/>
              <w:rPr>
                <w:rFonts w:ascii="仿宋" w:hAnsi="仿宋" w:eastAsia="仿宋"/>
                <w:szCs w:val="32"/>
              </w:rPr>
            </w:pPr>
            <w:r>
              <w:rPr>
                <w:rFonts w:hint="eastAsia" w:ascii="仿宋" w:hAnsi="仿宋" w:eastAsia="仿宋"/>
                <w:szCs w:val="32"/>
                <w:lang w:val="en-US" w:eastAsia="zh-CN"/>
              </w:rPr>
              <w:t>2</w:t>
            </w:r>
            <w:r>
              <w:rPr>
                <w:rFonts w:ascii="仿宋" w:hAnsi="仿宋" w:eastAsia="仿宋"/>
                <w:szCs w:val="32"/>
              </w:rPr>
              <w:t xml:space="preserve"> </w:t>
            </w:r>
          </w:p>
        </w:tc>
        <w:tc>
          <w:tcPr>
            <w:tcW w:w="5103" w:type="dxa"/>
            <w:tcBorders>
              <w:top w:val="single" w:color="000000" w:sz="4" w:space="0"/>
              <w:left w:val="single" w:color="000000" w:sz="4" w:space="0"/>
              <w:bottom w:val="single" w:color="000000" w:sz="4" w:space="0"/>
              <w:right w:val="single" w:color="000000" w:sz="4" w:space="0"/>
            </w:tcBorders>
            <w:vAlign w:val="center"/>
          </w:tcPr>
          <w:p>
            <w:pPr>
              <w:spacing w:after="0" w:line="259" w:lineRule="auto"/>
              <w:ind w:left="7" w:firstLine="0"/>
              <w:jc w:val="center"/>
              <w:rPr>
                <w:rFonts w:hint="eastAsia" w:ascii="仿宋" w:hAnsi="仿宋" w:eastAsia="仿宋"/>
                <w:szCs w:val="32"/>
                <w:lang w:val="en-US" w:eastAsia="zh-CN"/>
              </w:rPr>
            </w:pPr>
            <w:r>
              <w:rPr>
                <w:rFonts w:hint="eastAsia" w:ascii="仿宋" w:hAnsi="仿宋" w:eastAsia="仿宋"/>
                <w:szCs w:val="32"/>
                <w:lang w:val="en-US" w:eastAsia="zh-CN"/>
              </w:rPr>
              <w:t>34.99</w:t>
            </w:r>
          </w:p>
        </w:tc>
      </w:tr>
      <w:tr>
        <w:tblPrEx>
          <w:tblCellMar>
            <w:top w:w="0" w:type="dxa"/>
            <w:left w:w="108" w:type="dxa"/>
            <w:bottom w:w="0" w:type="dxa"/>
            <w:right w:w="115" w:type="dxa"/>
          </w:tblCellMar>
        </w:tblPrEx>
        <w:trPr>
          <w:trHeight w:val="655" w:hRule="atLeast"/>
        </w:trPr>
        <w:tc>
          <w:tcPr>
            <w:tcW w:w="5084" w:type="dxa"/>
            <w:tcBorders>
              <w:top w:val="single" w:color="000000" w:sz="4" w:space="0"/>
              <w:left w:val="single" w:color="000000" w:sz="4" w:space="0"/>
              <w:bottom w:val="single" w:color="000000" w:sz="4" w:space="0"/>
              <w:right w:val="single" w:color="000000" w:sz="4" w:space="0"/>
            </w:tcBorders>
            <w:vAlign w:val="center"/>
          </w:tcPr>
          <w:p>
            <w:pPr>
              <w:spacing w:after="0" w:line="259" w:lineRule="auto"/>
              <w:ind w:firstLine="0"/>
              <w:rPr>
                <w:rFonts w:ascii="仿宋" w:hAnsi="仿宋" w:eastAsia="仿宋"/>
                <w:szCs w:val="32"/>
              </w:rPr>
            </w:pPr>
            <w:r>
              <w:rPr>
                <w:rFonts w:ascii="仿宋" w:hAnsi="仿宋" w:eastAsia="仿宋"/>
                <w:szCs w:val="32"/>
              </w:rPr>
              <w:t>3、单价在20万元以上的设备</w:t>
            </w:r>
          </w:p>
        </w:tc>
        <w:tc>
          <w:tcPr>
            <w:tcW w:w="3296" w:type="dxa"/>
            <w:tcBorders>
              <w:top w:val="single" w:color="000000" w:sz="4" w:space="0"/>
              <w:left w:val="single" w:color="000000" w:sz="4" w:space="0"/>
              <w:bottom w:val="single" w:color="000000" w:sz="4" w:space="0"/>
              <w:right w:val="single" w:color="000000" w:sz="4" w:space="0"/>
            </w:tcBorders>
            <w:vAlign w:val="center"/>
          </w:tcPr>
          <w:p>
            <w:pPr>
              <w:spacing w:after="0" w:line="259" w:lineRule="auto"/>
              <w:ind w:left="9" w:firstLine="0"/>
              <w:jc w:val="center"/>
              <w:rPr>
                <w:rFonts w:ascii="仿宋" w:hAnsi="仿宋" w:eastAsia="仿宋"/>
                <w:szCs w:val="32"/>
              </w:rPr>
            </w:pPr>
            <w:r>
              <w:rPr>
                <w:rFonts w:ascii="仿宋" w:hAnsi="仿宋" w:eastAsia="仿宋"/>
                <w:szCs w:val="32"/>
              </w:rPr>
              <w:t xml:space="preserve">—— </w:t>
            </w:r>
          </w:p>
        </w:tc>
        <w:tc>
          <w:tcPr>
            <w:tcW w:w="5103" w:type="dxa"/>
            <w:tcBorders>
              <w:top w:val="single" w:color="000000" w:sz="4" w:space="0"/>
              <w:left w:val="single" w:color="000000" w:sz="4" w:space="0"/>
              <w:bottom w:val="single" w:color="000000" w:sz="4" w:space="0"/>
              <w:right w:val="single" w:color="000000" w:sz="4" w:space="0"/>
            </w:tcBorders>
            <w:vAlign w:val="center"/>
          </w:tcPr>
          <w:p>
            <w:pPr>
              <w:spacing w:after="0" w:line="259" w:lineRule="auto"/>
              <w:ind w:left="7" w:firstLine="0"/>
              <w:jc w:val="center"/>
              <w:rPr>
                <w:rFonts w:ascii="仿宋" w:hAnsi="仿宋" w:eastAsia="仿宋"/>
                <w:szCs w:val="32"/>
              </w:rPr>
            </w:pPr>
            <w:r>
              <w:rPr>
                <w:rFonts w:hint="eastAsia" w:ascii="仿宋" w:hAnsi="仿宋" w:eastAsia="仿宋"/>
                <w:szCs w:val="32"/>
              </w:rPr>
              <w:t>0</w:t>
            </w:r>
          </w:p>
        </w:tc>
      </w:tr>
      <w:tr>
        <w:trPr>
          <w:trHeight w:val="655" w:hRule="atLeast"/>
        </w:trPr>
        <w:tc>
          <w:tcPr>
            <w:tcW w:w="5084" w:type="dxa"/>
            <w:tcBorders>
              <w:top w:val="single" w:color="000000" w:sz="4" w:space="0"/>
              <w:left w:val="single" w:color="000000" w:sz="4" w:space="0"/>
              <w:bottom w:val="single" w:color="000000" w:sz="4" w:space="0"/>
              <w:right w:val="single" w:color="000000" w:sz="4" w:space="0"/>
            </w:tcBorders>
            <w:vAlign w:val="center"/>
          </w:tcPr>
          <w:p>
            <w:pPr>
              <w:spacing w:after="0" w:line="259" w:lineRule="auto"/>
              <w:ind w:firstLine="0"/>
              <w:rPr>
                <w:rFonts w:ascii="仿宋" w:hAnsi="仿宋" w:eastAsia="仿宋"/>
                <w:szCs w:val="32"/>
              </w:rPr>
            </w:pPr>
            <w:r>
              <w:rPr>
                <w:rFonts w:ascii="仿宋" w:hAnsi="仿宋" w:eastAsia="仿宋"/>
                <w:szCs w:val="32"/>
              </w:rPr>
              <w:t>4、其他固定资产</w:t>
            </w:r>
          </w:p>
        </w:tc>
        <w:tc>
          <w:tcPr>
            <w:tcW w:w="3296" w:type="dxa"/>
            <w:tcBorders>
              <w:top w:val="single" w:color="000000" w:sz="4" w:space="0"/>
              <w:left w:val="single" w:color="000000" w:sz="4" w:space="0"/>
              <w:bottom w:val="single" w:color="000000" w:sz="4" w:space="0"/>
              <w:right w:val="single" w:color="000000" w:sz="4" w:space="0"/>
            </w:tcBorders>
            <w:vAlign w:val="center"/>
          </w:tcPr>
          <w:p>
            <w:pPr>
              <w:spacing w:after="0" w:line="259" w:lineRule="auto"/>
              <w:ind w:left="9" w:firstLine="0"/>
              <w:jc w:val="center"/>
              <w:rPr>
                <w:rFonts w:hint="eastAsia" w:ascii="仿宋" w:hAnsi="仿宋" w:eastAsia="仿宋"/>
                <w:szCs w:val="32"/>
                <w:lang w:val="en-US" w:eastAsia="zh-CN"/>
              </w:rPr>
            </w:pPr>
            <w:r>
              <w:rPr>
                <w:rFonts w:hint="eastAsia" w:ascii="仿宋" w:hAnsi="仿宋" w:eastAsia="仿宋"/>
                <w:szCs w:val="32"/>
                <w:lang w:val="en-US" w:eastAsia="zh-CN"/>
              </w:rPr>
              <w:t>1046</w:t>
            </w:r>
          </w:p>
        </w:tc>
        <w:tc>
          <w:tcPr>
            <w:tcW w:w="5103" w:type="dxa"/>
            <w:tcBorders>
              <w:top w:val="single" w:color="000000" w:sz="4" w:space="0"/>
              <w:left w:val="single" w:color="000000" w:sz="4" w:space="0"/>
              <w:bottom w:val="single" w:color="000000" w:sz="4" w:space="0"/>
              <w:right w:val="single" w:color="000000" w:sz="4" w:space="0"/>
            </w:tcBorders>
            <w:vAlign w:val="center"/>
          </w:tcPr>
          <w:p>
            <w:pPr>
              <w:spacing w:after="0" w:line="259" w:lineRule="auto"/>
              <w:ind w:left="7" w:firstLine="0"/>
              <w:jc w:val="center"/>
              <w:rPr>
                <w:rFonts w:hint="eastAsia" w:ascii="仿宋" w:hAnsi="仿宋" w:eastAsia="仿宋"/>
                <w:szCs w:val="32"/>
                <w:lang w:val="en-US" w:eastAsia="zh-CN"/>
              </w:rPr>
            </w:pPr>
            <w:r>
              <w:rPr>
                <w:rFonts w:hint="eastAsia" w:ascii="仿宋" w:hAnsi="仿宋" w:eastAsia="仿宋"/>
                <w:szCs w:val="32"/>
                <w:lang w:val="en-US" w:eastAsia="zh-CN"/>
              </w:rPr>
              <w:t>1866.35</w:t>
            </w:r>
          </w:p>
        </w:tc>
      </w:tr>
    </w:tbl>
    <w:p>
      <w:pPr>
        <w:spacing w:after="204" w:line="259" w:lineRule="auto"/>
        <w:ind w:firstLine="0"/>
        <w:rPr>
          <w:rFonts w:ascii="仿宋" w:hAnsi="仿宋" w:eastAsia="仿宋"/>
          <w:szCs w:val="32"/>
        </w:rPr>
      </w:pPr>
    </w:p>
    <w:p>
      <w:pPr>
        <w:pStyle w:val="10"/>
        <w:numPr>
          <w:ilvl w:val="0"/>
          <w:numId w:val="0"/>
        </w:numPr>
        <w:spacing w:after="10" w:line="378" w:lineRule="auto"/>
        <w:ind w:left="626" w:leftChars="0" w:right="8665" w:rightChars="0"/>
        <w:rPr>
          <w:rFonts w:hint="eastAsia" w:ascii="黑体" w:hAnsi="黑体" w:eastAsia="黑体"/>
          <w:szCs w:val="32"/>
          <w:lang w:val="en-US" w:eastAsia="zh-CN"/>
        </w:rPr>
      </w:pPr>
      <w:r>
        <w:rPr>
          <w:rFonts w:hint="eastAsia" w:ascii="黑体" w:hAnsi="黑体" w:eastAsia="黑体"/>
          <w:szCs w:val="32"/>
          <w:lang w:val="en-US" w:eastAsia="zh-CN"/>
        </w:rPr>
        <w:t>七、名词解释</w:t>
      </w:r>
    </w:p>
    <w:p>
      <w:pPr>
        <w:numPr>
          <w:ilvl w:val="0"/>
          <w:numId w:val="0"/>
        </w:numPr>
        <w:spacing w:after="4"/>
        <w:ind w:right="4826" w:rightChars="0"/>
        <w:jc w:val="right"/>
        <w:rPr>
          <w:rFonts w:hint="eastAsia" w:ascii="仿宋" w:hAnsi="仿宋" w:eastAsia="仿宋" w:cs="Times New Roman"/>
          <w:szCs w:val="32"/>
          <w:lang w:val="en-US" w:eastAsia="zh-CN"/>
        </w:rPr>
      </w:pPr>
      <w:r>
        <w:rPr>
          <w:rFonts w:hint="eastAsia" w:ascii="仿宋" w:hAnsi="仿宋" w:eastAsia="仿宋"/>
          <w:szCs w:val="32"/>
          <w:lang w:val="en-US" w:eastAsia="zh-CN"/>
        </w:rPr>
        <w:t xml:space="preserve">  1、</w:t>
      </w:r>
      <w:r>
        <w:rPr>
          <w:rFonts w:hint="eastAsia" w:ascii="仿宋" w:hAnsi="仿宋" w:eastAsia="仿宋"/>
          <w:szCs w:val="32"/>
        </w:rPr>
        <w:t>一般</w:t>
      </w:r>
      <w:r>
        <w:rPr>
          <w:rFonts w:hint="eastAsia" w:ascii="仿宋" w:hAnsi="仿宋" w:eastAsia="仿宋"/>
          <w:szCs w:val="32"/>
          <w:lang w:eastAsia="zh-CN"/>
        </w:rPr>
        <w:t>公</w:t>
      </w:r>
      <w:r>
        <w:rPr>
          <w:rFonts w:hint="eastAsia" w:ascii="仿宋" w:hAnsi="仿宋" w:eastAsia="仿宋"/>
          <w:szCs w:val="32"/>
        </w:rPr>
        <w:t>共预算拨款收入：主要指市级财政</w:t>
      </w:r>
      <w:r>
        <w:rPr>
          <w:rFonts w:hint="eastAsia" w:ascii="仿宋" w:hAnsi="仿宋" w:eastAsia="仿宋"/>
          <w:szCs w:val="32"/>
          <w:lang w:eastAsia="zh-CN"/>
        </w:rPr>
        <w:t>当年拨付的资金。</w:t>
      </w:r>
    </w:p>
    <w:p>
      <w:pPr>
        <w:ind w:left="0" w:leftChars="0" w:firstLine="320" w:firstLineChars="100"/>
        <w:rPr>
          <w:rFonts w:ascii="仿宋" w:hAnsi="仿宋" w:eastAsia="仿宋"/>
          <w:szCs w:val="32"/>
        </w:rPr>
      </w:pPr>
      <w:r>
        <w:rPr>
          <w:rFonts w:hint="eastAsia" w:ascii="仿宋" w:hAnsi="仿宋" w:eastAsia="仿宋"/>
          <w:szCs w:val="32"/>
        </w:rPr>
        <w:t>2、</w:t>
      </w:r>
      <w:r>
        <w:rPr>
          <w:rFonts w:ascii="仿宋" w:hAnsi="仿宋" w:eastAsia="仿宋"/>
          <w:szCs w:val="32"/>
        </w:rPr>
        <w:t>基本支出：指为保障机构正常运转、完成日常工作任务而发生的人员支出和公用支出。</w:t>
      </w:r>
    </w:p>
    <w:p>
      <w:pPr>
        <w:ind w:left="0" w:leftChars="0" w:firstLine="320" w:firstLineChars="100"/>
        <w:rPr>
          <w:rFonts w:ascii="仿宋" w:hAnsi="仿宋" w:eastAsia="仿宋"/>
          <w:szCs w:val="32"/>
        </w:rPr>
      </w:pPr>
      <w:r>
        <w:rPr>
          <w:rFonts w:hint="eastAsia" w:ascii="仿宋" w:hAnsi="仿宋" w:eastAsia="仿宋"/>
          <w:szCs w:val="32"/>
        </w:rPr>
        <w:t>3、</w:t>
      </w:r>
      <w:r>
        <w:rPr>
          <w:rFonts w:ascii="仿宋" w:hAnsi="仿宋" w:eastAsia="仿宋"/>
          <w:szCs w:val="32"/>
        </w:rPr>
        <w:t>项目支出：指在基本支出之外为完成特定行政任务和事业发展目标所发生的支出。</w:t>
      </w:r>
    </w:p>
    <w:p>
      <w:pPr>
        <w:ind w:left="0" w:leftChars="0" w:firstLine="320" w:firstLineChars="100"/>
        <w:rPr>
          <w:rFonts w:ascii="仿宋" w:hAnsi="仿宋" w:eastAsia="仿宋"/>
          <w:szCs w:val="32"/>
        </w:rPr>
      </w:pPr>
      <w:r>
        <w:rPr>
          <w:rFonts w:hint="eastAsia" w:ascii="仿宋" w:hAnsi="仿宋" w:eastAsia="仿宋"/>
          <w:szCs w:val="32"/>
        </w:rPr>
        <w:t>4、</w:t>
      </w:r>
      <w:r>
        <w:rPr>
          <w:rFonts w:ascii="仿宋" w:hAnsi="仿宋" w:eastAsia="仿宋"/>
          <w:szCs w:val="32"/>
        </w:rPr>
        <w:t>上缴上级支出：指所属单位上缴上级的支出。</w:t>
      </w:r>
    </w:p>
    <w:p>
      <w:pPr>
        <w:ind w:left="0" w:leftChars="0" w:firstLine="320" w:firstLineChars="100"/>
        <w:rPr>
          <w:rFonts w:ascii="仿宋" w:hAnsi="仿宋" w:eastAsia="仿宋"/>
          <w:szCs w:val="32"/>
        </w:rPr>
      </w:pPr>
      <w:r>
        <w:rPr>
          <w:rFonts w:hint="eastAsia" w:ascii="仿宋" w:hAnsi="仿宋" w:eastAsia="仿宋"/>
          <w:szCs w:val="32"/>
        </w:rPr>
        <w:t>5、</w:t>
      </w:r>
      <w:r>
        <w:rPr>
          <w:rFonts w:ascii="仿宋" w:hAnsi="仿宋" w:eastAsia="仿宋"/>
          <w:szCs w:val="32"/>
        </w:rPr>
        <w:t>“三公”经费：纳入</w:t>
      </w:r>
      <w:r>
        <w:rPr>
          <w:rFonts w:hint="eastAsia" w:ascii="仿宋" w:hAnsi="仿宋" w:eastAsia="仿宋"/>
          <w:szCs w:val="32"/>
        </w:rPr>
        <w:t>市</w:t>
      </w:r>
      <w:r>
        <w:rPr>
          <w:rFonts w:ascii="仿宋" w:hAnsi="仿宋" w:eastAsia="仿宋"/>
          <w:szCs w:val="32"/>
        </w:rPr>
        <w:t>级财政预算管理的“三公”经费，是指</w:t>
      </w:r>
      <w:r>
        <w:rPr>
          <w:rFonts w:hint="eastAsia" w:ascii="仿宋" w:hAnsi="仿宋" w:eastAsia="仿宋"/>
          <w:szCs w:val="32"/>
        </w:rPr>
        <w:t>市</w:t>
      </w:r>
      <w:r>
        <w:rPr>
          <w:rFonts w:ascii="仿宋" w:hAnsi="仿宋" w:eastAsia="仿宋"/>
          <w:szCs w:val="32"/>
        </w:rPr>
        <w:t>级部门用财政拨款安排的因公出国（境）费、公务用车购置及运行费和公务接待费。其中，因公出国（境）费反映单位公务出国（境）的住宿费、旅费、伙食补助费、杂费、培训费等支出；公务用车购置及运行费反映单位公务用车购置费及租用费、燃料费、维修费、过路过桥费、保险费、安全奖励费用等支出；公务接待费反映单位按规定开支的各类公务接待（含外宾接待）支出。</w:t>
      </w:r>
    </w:p>
    <w:p>
      <w:pPr>
        <w:ind w:left="0" w:leftChars="0" w:firstLine="320" w:firstLineChars="100"/>
        <w:rPr>
          <w:rFonts w:ascii="仿宋" w:hAnsi="仿宋" w:eastAsia="仿宋"/>
          <w:szCs w:val="32"/>
        </w:rPr>
      </w:pPr>
      <w:r>
        <w:rPr>
          <w:rFonts w:hint="eastAsia" w:ascii="仿宋" w:hAnsi="仿宋" w:eastAsia="仿宋"/>
          <w:szCs w:val="32"/>
        </w:rPr>
        <w:t>6、</w:t>
      </w:r>
      <w:r>
        <w:rPr>
          <w:rFonts w:ascii="仿宋" w:hAnsi="仿宋" w:eastAsia="仿宋"/>
          <w:szCs w:val="32"/>
        </w:rPr>
        <w:t>机关运行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pPr>
        <w:ind w:left="0" w:leftChars="0" w:firstLine="0" w:firstLineChars="0"/>
        <w:rPr>
          <w:rFonts w:hint="eastAsia" w:ascii="黑体" w:hAnsi="黑体" w:eastAsia="黑体" w:cs="微软雅黑"/>
          <w:color w:val="000000"/>
          <w:kern w:val="2"/>
          <w:sz w:val="32"/>
          <w:szCs w:val="32"/>
          <w:lang w:val="en-US" w:eastAsia="zh-CN" w:bidi="ar-SA"/>
        </w:rPr>
      </w:pPr>
      <w:r>
        <w:rPr>
          <w:rFonts w:hint="eastAsia" w:ascii="黑体" w:hAnsi="黑体" w:eastAsia="黑体" w:cs="微软雅黑"/>
          <w:color w:val="000000"/>
          <w:kern w:val="2"/>
          <w:sz w:val="32"/>
          <w:szCs w:val="32"/>
          <w:lang w:val="en-US" w:eastAsia="zh-CN" w:bidi="ar-SA"/>
        </w:rPr>
        <w:t>八、其他需说明的事项</w:t>
      </w:r>
    </w:p>
    <w:p>
      <w:pPr>
        <w:rPr>
          <w:rFonts w:ascii="仿宋" w:hAnsi="仿宋" w:eastAsia="仿宋"/>
          <w:szCs w:val="32"/>
        </w:rPr>
      </w:pPr>
      <w:r>
        <w:rPr>
          <w:rFonts w:hint="eastAsia" w:ascii="仿宋" w:hAnsi="仿宋" w:eastAsia="仿宋"/>
          <w:szCs w:val="32"/>
        </w:rPr>
        <w:t>无其他事项说明</w:t>
      </w:r>
    </w:p>
    <w:sectPr>
      <w:headerReference r:id="rId7" w:type="first"/>
      <w:headerReference r:id="rId5" w:type="default"/>
      <w:headerReference r:id="rId6" w:type="even"/>
      <w:pgSz w:w="16838" w:h="11906" w:orient="landscape"/>
      <w:pgMar w:top="1931" w:right="1436" w:bottom="1932" w:left="14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386" w:lineRule="auto"/>
      </w:pPr>
      <w:r>
        <w:separator/>
      </w:r>
    </w:p>
  </w:footnote>
  <w:footnote w:type="continuationSeparator" w:id="1">
    <w:p>
      <w:pPr>
        <w:spacing w:before="0" w:after="0" w:line="386"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after="160" w:line="259" w:lineRule="auto"/>
      <w:ind w:firstLine="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after="160" w:line="259" w:lineRule="auto"/>
      <w:ind w:firstLine="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after="160" w:line="259" w:lineRule="auto"/>
      <w:ind w:firstLine="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5623B2E"/>
    <w:multiLevelType w:val="multilevel"/>
    <w:tmpl w:val="35623B2E"/>
    <w:lvl w:ilvl="0" w:tentative="0">
      <w:start w:val="1"/>
      <w:numFmt w:val="japaneseCounting"/>
      <w:lvlText w:val="%1、"/>
      <w:lvlJc w:val="left"/>
      <w:pPr>
        <w:ind w:left="1346" w:hanging="720"/>
      </w:pPr>
      <w:rPr>
        <w:rFonts w:hint="default" w:ascii="黑体" w:hAnsi="黑体" w:eastAsia="黑体"/>
      </w:rPr>
    </w:lvl>
    <w:lvl w:ilvl="1" w:tentative="0">
      <w:start w:val="1"/>
      <w:numFmt w:val="lowerLetter"/>
      <w:lvlText w:val="%2)"/>
      <w:lvlJc w:val="left"/>
      <w:pPr>
        <w:ind w:left="1466" w:hanging="420"/>
      </w:pPr>
    </w:lvl>
    <w:lvl w:ilvl="2" w:tentative="0">
      <w:start w:val="1"/>
      <w:numFmt w:val="lowerRoman"/>
      <w:lvlText w:val="%3."/>
      <w:lvlJc w:val="right"/>
      <w:pPr>
        <w:ind w:left="1886" w:hanging="420"/>
      </w:pPr>
    </w:lvl>
    <w:lvl w:ilvl="3" w:tentative="0">
      <w:start w:val="1"/>
      <w:numFmt w:val="decimal"/>
      <w:lvlText w:val="%4."/>
      <w:lvlJc w:val="left"/>
      <w:pPr>
        <w:ind w:left="2306" w:hanging="420"/>
      </w:pPr>
    </w:lvl>
    <w:lvl w:ilvl="4" w:tentative="0">
      <w:start w:val="1"/>
      <w:numFmt w:val="lowerLetter"/>
      <w:lvlText w:val="%5)"/>
      <w:lvlJc w:val="left"/>
      <w:pPr>
        <w:ind w:left="2726" w:hanging="420"/>
      </w:pPr>
    </w:lvl>
    <w:lvl w:ilvl="5" w:tentative="0">
      <w:start w:val="1"/>
      <w:numFmt w:val="lowerRoman"/>
      <w:lvlText w:val="%6."/>
      <w:lvlJc w:val="right"/>
      <w:pPr>
        <w:ind w:left="3146" w:hanging="420"/>
      </w:pPr>
    </w:lvl>
    <w:lvl w:ilvl="6" w:tentative="0">
      <w:start w:val="1"/>
      <w:numFmt w:val="decimal"/>
      <w:lvlText w:val="%7."/>
      <w:lvlJc w:val="left"/>
      <w:pPr>
        <w:ind w:left="3566" w:hanging="420"/>
      </w:pPr>
    </w:lvl>
    <w:lvl w:ilvl="7" w:tentative="0">
      <w:start w:val="1"/>
      <w:numFmt w:val="lowerLetter"/>
      <w:lvlText w:val="%8)"/>
      <w:lvlJc w:val="left"/>
      <w:pPr>
        <w:ind w:left="3986" w:hanging="420"/>
      </w:pPr>
    </w:lvl>
    <w:lvl w:ilvl="8" w:tentative="0">
      <w:start w:val="1"/>
      <w:numFmt w:val="lowerRoman"/>
      <w:lvlText w:val="%9."/>
      <w:lvlJc w:val="right"/>
      <w:pPr>
        <w:ind w:left="4406"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isplayHorizontalDrawingGridEvery w:val="0"/>
  <w:displayVerticalDrawingGridEvery w:val="2"/>
  <w:characterSpacingControl w:val="doNotCompress"/>
  <w:footnotePr>
    <w:footnote w:id="0"/>
    <w:footnote w:id="1"/>
  </w:footnotePr>
  <w:endnotePr>
    <w:endnote w:id="0"/>
    <w:endnote w:id="1"/>
  </w:endnotePr>
  <w:compat>
    <w:balanceSingleByteDoubleByteWidth/>
    <w:doNotExpandShiftReturn/>
    <w:doNotWrapTextWithPunct/>
    <w:doNotUseEastAsianBreakRules/>
    <w:useFELayout/>
    <w:doNotUseIndentAsNumberingTabStop/>
    <w:useAltKinsokuLineBreakRules/>
    <w:compatSetting w:name="compatibilityMode" w:uri="http://schemas.microsoft.com/office/word" w:val="12"/>
  </w:compat>
  <w:docVars>
    <w:docVar w:name="commondata" w:val="eyJoZGlkIjoiZWJlN2YzYjU1ODJmNWJiMDkwNDEzM2UyYWZhN2NhOTUifQ=="/>
    <w:docVar w:name="KSO_WPS_MARK_KEY" w:val="765a5291-8d28-4480-8365-c8bd5c681c23"/>
  </w:docVars>
  <w:rsids>
    <w:rsidRoot w:val="00172A27"/>
    <w:rsid w:val="00140209"/>
    <w:rsid w:val="00157137"/>
    <w:rsid w:val="0018182F"/>
    <w:rsid w:val="00264315"/>
    <w:rsid w:val="00286678"/>
    <w:rsid w:val="002E027F"/>
    <w:rsid w:val="00307740"/>
    <w:rsid w:val="00325A6A"/>
    <w:rsid w:val="00403D9A"/>
    <w:rsid w:val="004050A7"/>
    <w:rsid w:val="004123DD"/>
    <w:rsid w:val="00413A38"/>
    <w:rsid w:val="004431B1"/>
    <w:rsid w:val="00493F1F"/>
    <w:rsid w:val="004A0735"/>
    <w:rsid w:val="004F374D"/>
    <w:rsid w:val="0050074C"/>
    <w:rsid w:val="00547010"/>
    <w:rsid w:val="005A01FF"/>
    <w:rsid w:val="005F43E8"/>
    <w:rsid w:val="00725E9A"/>
    <w:rsid w:val="0073243A"/>
    <w:rsid w:val="00757327"/>
    <w:rsid w:val="0076695F"/>
    <w:rsid w:val="007B3627"/>
    <w:rsid w:val="008A0C9B"/>
    <w:rsid w:val="008F218B"/>
    <w:rsid w:val="00991492"/>
    <w:rsid w:val="009E5F93"/>
    <w:rsid w:val="00A032F2"/>
    <w:rsid w:val="00A2564C"/>
    <w:rsid w:val="00A30A80"/>
    <w:rsid w:val="00A51C60"/>
    <w:rsid w:val="00B41549"/>
    <w:rsid w:val="00CB7FAC"/>
    <w:rsid w:val="00D32DA9"/>
    <w:rsid w:val="00D822DB"/>
    <w:rsid w:val="00DA643A"/>
    <w:rsid w:val="00DE2321"/>
    <w:rsid w:val="00E61B08"/>
    <w:rsid w:val="00ED5C6D"/>
    <w:rsid w:val="00F35B98"/>
    <w:rsid w:val="00F67D92"/>
    <w:rsid w:val="00F85379"/>
    <w:rsid w:val="00FC3A7F"/>
    <w:rsid w:val="032A5048"/>
    <w:rsid w:val="06ED749C"/>
    <w:rsid w:val="0A3857F2"/>
    <w:rsid w:val="0B5E36F1"/>
    <w:rsid w:val="0C5F0B09"/>
    <w:rsid w:val="0D9D07C6"/>
    <w:rsid w:val="13B271CF"/>
    <w:rsid w:val="1B5E4007"/>
    <w:rsid w:val="205C122F"/>
    <w:rsid w:val="221A7168"/>
    <w:rsid w:val="22460D27"/>
    <w:rsid w:val="277A56D4"/>
    <w:rsid w:val="2BF73D3C"/>
    <w:rsid w:val="2C5B307F"/>
    <w:rsid w:val="2EB10821"/>
    <w:rsid w:val="30325A79"/>
    <w:rsid w:val="303B313C"/>
    <w:rsid w:val="31413951"/>
    <w:rsid w:val="340B72E1"/>
    <w:rsid w:val="377E6DAC"/>
    <w:rsid w:val="3D81088A"/>
    <w:rsid w:val="3FBB40F0"/>
    <w:rsid w:val="418C0439"/>
    <w:rsid w:val="45525B5E"/>
    <w:rsid w:val="4A115C0C"/>
    <w:rsid w:val="4AE34C0D"/>
    <w:rsid w:val="4DD91C48"/>
    <w:rsid w:val="54577D21"/>
    <w:rsid w:val="560748A4"/>
    <w:rsid w:val="599E504B"/>
    <w:rsid w:val="5A7303FA"/>
    <w:rsid w:val="5C194EA1"/>
    <w:rsid w:val="5EC10EBC"/>
    <w:rsid w:val="63D04981"/>
    <w:rsid w:val="64F449FC"/>
    <w:rsid w:val="653C640E"/>
    <w:rsid w:val="65574ACC"/>
    <w:rsid w:val="65822D67"/>
    <w:rsid w:val="68CC1F7A"/>
    <w:rsid w:val="6C6D6245"/>
    <w:rsid w:val="6EC72AF7"/>
    <w:rsid w:val="6FE37334"/>
    <w:rsid w:val="71516E5D"/>
    <w:rsid w:val="73360BCA"/>
    <w:rsid w:val="74580B5E"/>
    <w:rsid w:val="75690D67"/>
    <w:rsid w:val="7A4246A9"/>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iPriority="99" w:semiHidden="0" w:name="footnote text"/>
    <w:lsdException w:uiPriority="99" w:name="annotation text"/>
    <w:lsdException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qFormat="1" w:uiPriority="99" w:semiHidden="0" w:name="footnote reference"/>
    <w:lsdException w:uiPriority="99" w:name="annotation reference"/>
    <w:lsdException w:uiPriority="99" w:name="line number"/>
    <w:lsdException w:qFormat="1"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5" w:line="386" w:lineRule="auto"/>
      <w:ind w:firstLine="634"/>
    </w:pPr>
    <w:rPr>
      <w:rFonts w:ascii="微软雅黑" w:hAnsi="微软雅黑" w:eastAsia="微软雅黑" w:cs="微软雅黑"/>
      <w:color w:val="000000"/>
      <w:kern w:val="2"/>
      <w:sz w:val="32"/>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styleId="2">
    <w:name w:val="footer"/>
    <w:basedOn w:val="1"/>
    <w:link w:val="9"/>
    <w:unhideWhenUsed/>
    <w:qFormat/>
    <w:uiPriority w:val="99"/>
    <w:pPr>
      <w:tabs>
        <w:tab w:val="center" w:pos="4153"/>
        <w:tab w:val="right" w:pos="8306"/>
      </w:tabs>
      <w:snapToGrid w:val="0"/>
      <w:spacing w:line="240" w:lineRule="auto"/>
    </w:pPr>
    <w:rPr>
      <w:sz w:val="18"/>
      <w:szCs w:val="18"/>
    </w:rPr>
  </w:style>
  <w:style w:type="paragraph" w:styleId="3">
    <w:name w:val="footnote text"/>
    <w:basedOn w:val="1"/>
    <w:unhideWhenUsed/>
    <w:qFormat/>
    <w:uiPriority w:val="99"/>
    <w:pPr>
      <w:snapToGrid w:val="0"/>
      <w:jc w:val="left"/>
    </w:pPr>
    <w:rPr>
      <w:rFonts w:ascii="Calibri" w:hAnsi="Calibri" w:eastAsia="宋体" w:cs="Times New Roman"/>
      <w:sz w:val="18"/>
      <w:szCs w:val="18"/>
    </w:rPr>
  </w:style>
  <w:style w:type="character" w:styleId="6">
    <w:name w:val="page number"/>
    <w:unhideWhenUsed/>
    <w:qFormat/>
    <w:uiPriority w:val="99"/>
  </w:style>
  <w:style w:type="character" w:styleId="7">
    <w:name w:val="footnote reference"/>
    <w:unhideWhenUsed/>
    <w:qFormat/>
    <w:uiPriority w:val="99"/>
    <w:rPr>
      <w:vertAlign w:val="superscript"/>
    </w:rPr>
  </w:style>
  <w:style w:type="table" w:customStyle="1" w:styleId="8">
    <w:name w:val="TableGrid"/>
    <w:qFormat/>
    <w:uiPriority w:val="0"/>
    <w:tblPr>
      <w:tblCellMar>
        <w:top w:w="0" w:type="dxa"/>
        <w:left w:w="0" w:type="dxa"/>
        <w:bottom w:w="0" w:type="dxa"/>
        <w:right w:w="0" w:type="dxa"/>
      </w:tblCellMar>
    </w:tblPr>
  </w:style>
  <w:style w:type="character" w:customStyle="1" w:styleId="9">
    <w:name w:val="页脚 Char"/>
    <w:basedOn w:val="5"/>
    <w:link w:val="2"/>
    <w:qFormat/>
    <w:uiPriority w:val="99"/>
    <w:rPr>
      <w:rFonts w:ascii="微软雅黑" w:hAnsi="微软雅黑" w:eastAsia="微软雅黑" w:cs="微软雅黑"/>
      <w:color w:val="000000"/>
      <w:sz w:val="18"/>
      <w:szCs w:val="18"/>
    </w:rPr>
  </w:style>
  <w:style w:type="paragraph" w:customStyle="1" w:styleId="10">
    <w:name w:val="列出段落1"/>
    <w:basedOn w:val="1"/>
    <w:qFormat/>
    <w:uiPriority w:val="34"/>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theme" Target="theme/theme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4C9C5FE-FFB0-41F4-8EDF-5701C82882E5}">
  <ds:schemaRefs/>
</ds:datastoreItem>
</file>

<file path=docProps/app.xml><?xml version="1.0" encoding="utf-8"?>
<Properties xmlns="http://schemas.openxmlformats.org/officeDocument/2006/extended-properties" xmlns:vt="http://schemas.openxmlformats.org/officeDocument/2006/docPropsVTypes">
  <Template>Normal</Template>
  <Pages>10</Pages>
  <Words>3025</Words>
  <Characters>3306</Characters>
  <Lines>1</Lines>
  <Paragraphs>1</Paragraphs>
  <TotalTime>2</TotalTime>
  <ScaleCrop>false</ScaleCrop>
  <LinksUpToDate>false</LinksUpToDate>
  <CharactersWithSpaces>3376</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2017-06-19T03:21:00Z</dcterms:created>
  <dc:creator>guest</dc:creator>
  <cp:lastModifiedBy>倩倩</cp:lastModifiedBy>
  <cp:lastPrinted>2020-08-31T08:07:00Z</cp:lastPrinted>
  <dcterms:modified xsi:type="dcterms:W3CDTF">2024-01-17T08:03:48Z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86C9D67BFE40420BB57B9C944D29F84F_12</vt:lpwstr>
  </property>
</Properties>
</file>